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4423C5E4"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A559FB">
              <w:rPr>
                <w:b/>
                <w:sz w:val="22"/>
                <w:szCs w:val="24"/>
              </w:rPr>
              <w:t>4</w:t>
            </w:r>
            <w:r w:rsidR="00F16BBE">
              <w:rPr>
                <w:b/>
                <w:sz w:val="22"/>
                <w:szCs w:val="24"/>
              </w:rPr>
              <w:t>bis</w:t>
            </w:r>
            <w:r w:rsidRPr="002C136E">
              <w:rPr>
                <w:b/>
                <w:sz w:val="22"/>
                <w:szCs w:val="24"/>
              </w:rPr>
              <w:tab/>
            </w:r>
          </w:p>
          <w:p w14:paraId="1EC84673" w14:textId="43581D90" w:rsidR="006F40BC" w:rsidRPr="002C136E" w:rsidRDefault="005F6F46" w:rsidP="00016124">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6A6155">
              <w:rPr>
                <w:rFonts w:ascii="Times New Roman" w:hAnsi="Times New Roman"/>
                <w:i w:val="0"/>
                <w:noProof w:val="0"/>
                <w:sz w:val="22"/>
                <w:szCs w:val="24"/>
              </w:rPr>
              <w:t>May</w:t>
            </w:r>
            <w:r w:rsidR="00A559FB" w:rsidRPr="002C136E">
              <w:rPr>
                <w:rFonts w:ascii="Times New Roman" w:hAnsi="Times New Roman"/>
                <w:i w:val="0"/>
                <w:noProof w:val="0"/>
                <w:sz w:val="22"/>
                <w:szCs w:val="24"/>
              </w:rPr>
              <w:t xml:space="preserve"> </w:t>
            </w:r>
            <w:r w:rsidR="00F16BBE">
              <w:rPr>
                <w:rFonts w:ascii="Times New Roman" w:hAnsi="Times New Roman"/>
                <w:i w:val="0"/>
                <w:noProof w:val="0"/>
                <w:sz w:val="22"/>
                <w:szCs w:val="24"/>
              </w:rPr>
              <w:t>1</w:t>
            </w:r>
            <w:r w:rsidR="006A6155">
              <w:rPr>
                <w:rFonts w:ascii="Times New Roman" w:hAnsi="Times New Roman"/>
                <w:i w:val="0"/>
                <w:noProof w:val="0"/>
                <w:sz w:val="22"/>
                <w:szCs w:val="24"/>
              </w:rPr>
              <w:t>0</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w:t>
            </w:r>
            <w:r w:rsidR="006A6155">
              <w:rPr>
                <w:rFonts w:ascii="Times New Roman" w:hAnsi="Times New Roman"/>
                <w:i w:val="0"/>
                <w:noProof w:val="0"/>
                <w:sz w:val="22"/>
                <w:szCs w:val="24"/>
              </w:rPr>
              <w:t>May</w:t>
            </w:r>
            <w:r w:rsidR="00A559FB" w:rsidRPr="002C136E">
              <w:rPr>
                <w:rFonts w:ascii="Times New Roman" w:hAnsi="Times New Roman"/>
                <w:i w:val="0"/>
                <w:noProof w:val="0"/>
                <w:sz w:val="22"/>
                <w:szCs w:val="24"/>
              </w:rPr>
              <w:t xml:space="preserve"> </w:t>
            </w:r>
            <w:r w:rsidR="00F16BBE">
              <w:rPr>
                <w:rFonts w:ascii="Times New Roman" w:hAnsi="Times New Roman"/>
                <w:i w:val="0"/>
                <w:noProof w:val="0"/>
                <w:sz w:val="22"/>
                <w:szCs w:val="24"/>
              </w:rPr>
              <w:t>2</w:t>
            </w:r>
            <w:r w:rsidR="006A6155">
              <w:rPr>
                <w:rFonts w:ascii="Times New Roman" w:hAnsi="Times New Roman"/>
                <w:i w:val="0"/>
                <w:noProof w:val="0"/>
                <w:sz w:val="22"/>
                <w:szCs w:val="24"/>
              </w:rPr>
              <w:t>7</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xml:space="preserve">, </w:t>
            </w:r>
            <w:r w:rsidR="00D9584E" w:rsidRPr="002C136E">
              <w:rPr>
                <w:rFonts w:ascii="Times New Roman" w:hAnsi="Times New Roman"/>
                <w:i w:val="0"/>
                <w:noProof w:val="0"/>
                <w:sz w:val="22"/>
                <w:szCs w:val="24"/>
              </w:rPr>
              <w:t>202</w:t>
            </w:r>
            <w:r w:rsidR="00D9584E">
              <w:rPr>
                <w:rFonts w:ascii="Times New Roman" w:hAnsi="Times New Roman"/>
                <w:i w:val="0"/>
                <w:noProof w:val="0"/>
                <w:sz w:val="22"/>
                <w:szCs w:val="24"/>
              </w:rPr>
              <w:t>1</w:t>
            </w:r>
          </w:p>
        </w:tc>
        <w:tc>
          <w:tcPr>
            <w:tcW w:w="2766" w:type="dxa"/>
          </w:tcPr>
          <w:p w14:paraId="04437A8E" w14:textId="24E95C89" w:rsidR="006F40BC" w:rsidRPr="002C136E" w:rsidRDefault="00721FFC" w:rsidP="00016124">
            <w:pPr>
              <w:tabs>
                <w:tab w:val="right" w:pos="10000"/>
              </w:tabs>
              <w:spacing w:after="0"/>
              <w:jc w:val="right"/>
              <w:rPr>
                <w:bCs/>
                <w:sz w:val="22"/>
                <w:szCs w:val="24"/>
              </w:rPr>
            </w:pPr>
            <w:r w:rsidRPr="00721FFC">
              <w:rPr>
                <w:b/>
                <w:sz w:val="22"/>
                <w:szCs w:val="24"/>
              </w:rPr>
              <w:t>R1-</w:t>
            </w:r>
            <w:r w:rsidR="008243A9">
              <w:rPr>
                <w:b/>
                <w:sz w:val="22"/>
                <w:szCs w:val="24"/>
              </w:rPr>
              <w:t>21</w:t>
            </w:r>
            <w:r w:rsidR="00F25542">
              <w:rPr>
                <w:b/>
                <w:sz w:val="22"/>
                <w:szCs w:val="24"/>
              </w:rPr>
              <w:t>04686</w:t>
            </w:r>
          </w:p>
        </w:tc>
      </w:tr>
    </w:tbl>
    <w:p w14:paraId="24B66D98" w14:textId="77777777" w:rsidR="00746535" w:rsidRPr="002C136E" w:rsidRDefault="00746535" w:rsidP="00016124">
      <w:pPr>
        <w:pStyle w:val="Footer"/>
        <w:jc w:val="both"/>
        <w:rPr>
          <w:rFonts w:ascii="Times New Roman" w:hAnsi="Times New Roman"/>
          <w:noProof w:val="0"/>
          <w:sz w:val="16"/>
        </w:rPr>
      </w:pPr>
      <w:bookmarkStart w:id="0"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77777777"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651885DA"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D52C88" w:rsidRPr="00D52C88">
        <w:t xml:space="preserve"> </w:t>
      </w:r>
      <w:r w:rsidR="00662FEF">
        <w:rPr>
          <w:sz w:val="22"/>
        </w:rPr>
        <w:t xml:space="preserve">TB Processing over multi-slot </w:t>
      </w:r>
      <w:r w:rsidR="00D52C88" w:rsidRPr="00D52C88">
        <w:rPr>
          <w:sz w:val="22"/>
        </w:rPr>
        <w:t>PUSCH</w:t>
      </w:r>
    </w:p>
    <w:bookmarkEnd w:id="0"/>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09A00AF9" w14:textId="7DBBDCE8" w:rsidR="00746535" w:rsidRDefault="00746535" w:rsidP="00016124">
      <w:pPr>
        <w:pStyle w:val="Heading1"/>
        <w:jc w:val="both"/>
        <w:rPr>
          <w:rFonts w:ascii="Times New Roman" w:hAnsi="Times New Roman"/>
          <w:lang w:val="en-US"/>
        </w:rPr>
      </w:pPr>
      <w:r w:rsidRPr="002C136E">
        <w:rPr>
          <w:rFonts w:ascii="Times New Roman" w:hAnsi="Times New Roman"/>
          <w:lang w:val="en-US"/>
        </w:rPr>
        <w:t>Introduction</w:t>
      </w:r>
    </w:p>
    <w:p w14:paraId="7791BD4A" w14:textId="45C641F4" w:rsidR="006A6155" w:rsidRPr="006A6155" w:rsidRDefault="006A6155" w:rsidP="006A6155">
      <w:r>
        <w:t>In RAN1-</w:t>
      </w:r>
      <w:r w:rsidR="00B44E81">
        <w:t>104bis</w:t>
      </w:r>
      <w:r w:rsidR="00565EE1">
        <w:t xml:space="preserve"> [1]</w:t>
      </w:r>
      <w:r w:rsidR="00B44E81">
        <w:t xml:space="preserve">, the following agreements were made </w:t>
      </w:r>
      <w:r w:rsidR="002D32FC">
        <w:t>regarding</w:t>
      </w:r>
      <w:r w:rsidR="00B44E81">
        <w:t xml:space="preserve"> TBoMS:</w:t>
      </w:r>
    </w:p>
    <w:p w14:paraId="7D02C43D" w14:textId="77777777" w:rsidR="006A6155" w:rsidRPr="003D04A8" w:rsidRDefault="006A6155" w:rsidP="006A6155">
      <w:pPr>
        <w:rPr>
          <w:highlight w:val="green"/>
          <w:lang w:eastAsia="x-none"/>
        </w:rPr>
      </w:pPr>
      <w:bookmarkStart w:id="1" w:name="_Hlk69477917"/>
      <w:bookmarkStart w:id="2" w:name="_Hlk69480891"/>
      <w:r w:rsidRPr="003D04A8">
        <w:rPr>
          <w:highlight w:val="green"/>
          <w:lang w:eastAsia="x-none"/>
        </w:rPr>
        <w:t>Agreement:</w:t>
      </w:r>
    </w:p>
    <w:bookmarkEnd w:id="1"/>
    <w:p w14:paraId="6E2F48AA" w14:textId="77777777" w:rsidR="006A6155" w:rsidRPr="009E6CCD" w:rsidRDefault="006A6155" w:rsidP="006A6155">
      <w:r w:rsidRPr="009E6CCD">
        <w:rPr>
          <w:rFonts w:hint="eastAsia"/>
        </w:rPr>
        <w:t>Non-consecutive physical slots for UL transmission can be used to transmit TBoMS at least for unpaired spectrum.</w:t>
      </w:r>
    </w:p>
    <w:p w14:paraId="27038497" w14:textId="77777777" w:rsidR="006A6155" w:rsidRPr="009E6CCD" w:rsidRDefault="006A6155" w:rsidP="006A6155">
      <w:pPr>
        <w:numPr>
          <w:ilvl w:val="0"/>
          <w:numId w:val="35"/>
        </w:numPr>
        <w:overflowPunct/>
        <w:autoSpaceDE/>
        <w:autoSpaceDN/>
        <w:adjustRightInd/>
        <w:spacing w:after="0"/>
        <w:textAlignment w:val="auto"/>
      </w:pPr>
      <w:r w:rsidRPr="009E6CCD">
        <w:rPr>
          <w:rFonts w:hint="eastAsia"/>
        </w:rPr>
        <w:t>How TBoMS is transmitted over non-consecutive physical slots for UL transmission for unpaired spectrum is to be discussed further. </w:t>
      </w:r>
    </w:p>
    <w:p w14:paraId="4D025ECF" w14:textId="77777777" w:rsidR="006A6155" w:rsidRPr="009E6CCD" w:rsidRDefault="006A6155" w:rsidP="006A6155">
      <w:pPr>
        <w:numPr>
          <w:ilvl w:val="0"/>
          <w:numId w:val="35"/>
        </w:numPr>
        <w:overflowPunct/>
        <w:autoSpaceDE/>
        <w:autoSpaceDN/>
        <w:adjustRightInd/>
        <w:spacing w:after="0"/>
        <w:textAlignment w:val="auto"/>
      </w:pPr>
      <w:r w:rsidRPr="009E6CCD">
        <w:rPr>
          <w:rFonts w:hint="eastAsia"/>
        </w:rPr>
        <w:t>Whether and how non-consecutive physical slots for UL transmission can be used to transmit TBoMS for paired spectrum and SUL band as well, is to be discussed further.</w:t>
      </w:r>
    </w:p>
    <w:bookmarkEnd w:id="2"/>
    <w:p w14:paraId="6EFC0FC0" w14:textId="77777777" w:rsidR="006A6155" w:rsidRDefault="006A6155" w:rsidP="006A6155">
      <w:pPr>
        <w:rPr>
          <w:lang w:eastAsia="x-none"/>
        </w:rPr>
      </w:pPr>
    </w:p>
    <w:p w14:paraId="56F52FCF" w14:textId="77777777" w:rsidR="006A6155" w:rsidRPr="00F11930" w:rsidRDefault="006A6155" w:rsidP="006A6155">
      <w:pPr>
        <w:jc w:val="both"/>
        <w:rPr>
          <w:rFonts w:ascii="Calibri" w:hAnsi="Calibri"/>
          <w:highlight w:val="darkYellow"/>
          <w:lang w:eastAsia="zh-CN"/>
        </w:rPr>
      </w:pPr>
      <w:r w:rsidRPr="00F11930">
        <w:rPr>
          <w:highlight w:val="darkYellow"/>
        </w:rPr>
        <w:t>Working Assumption</w:t>
      </w:r>
    </w:p>
    <w:p w14:paraId="17380A2B" w14:textId="77777777" w:rsidR="006A6155" w:rsidRPr="00F11930" w:rsidRDefault="006A6155" w:rsidP="006A6155">
      <w:pPr>
        <w:spacing w:line="252" w:lineRule="auto"/>
        <w:jc w:val="both"/>
        <w:rPr>
          <w:color w:val="000000"/>
          <w:lang w:eastAsia="zh-CN"/>
        </w:rPr>
      </w:pPr>
      <w:r w:rsidRPr="00F11930">
        <w:rPr>
          <w:color w:val="000000"/>
          <w:lang w:eastAsia="zh-CN"/>
        </w:rPr>
        <w:t xml:space="preserve">The concept of transmission occasion for TBoMS (TOT) is utilized for the purpose of discussion, where a TOT is constituted of time domain resources which </w:t>
      </w:r>
      <w:r w:rsidRPr="00F11930">
        <w:rPr>
          <w:lang w:eastAsia="zh-CN"/>
        </w:rPr>
        <w:t>may or may not</w:t>
      </w:r>
      <w:r w:rsidRPr="00F11930">
        <w:rPr>
          <w:color w:val="000000"/>
          <w:lang w:eastAsia="zh-CN"/>
        </w:rPr>
        <w:t xml:space="preserve"> span multiple slots</w:t>
      </w:r>
    </w:p>
    <w:p w14:paraId="5BEAD1A9" w14:textId="77777777" w:rsidR="006A6155" w:rsidRPr="00F11930" w:rsidRDefault="006A6155" w:rsidP="006A6155">
      <w:pPr>
        <w:pStyle w:val="ListParagraph"/>
        <w:numPr>
          <w:ilvl w:val="0"/>
          <w:numId w:val="36"/>
        </w:numPr>
        <w:overflowPunct/>
        <w:autoSpaceDE/>
        <w:autoSpaceDN/>
        <w:adjustRightInd/>
        <w:spacing w:line="252" w:lineRule="auto"/>
        <w:textAlignment w:val="auto"/>
        <w:rPr>
          <w:rFonts w:ascii="Calibri" w:hAnsi="Calibri" w:cs="Calibri"/>
          <w:color w:val="000000"/>
        </w:rPr>
      </w:pPr>
      <w:r w:rsidRPr="00F11930">
        <w:rPr>
          <w:rFonts w:ascii="Calibri" w:hAnsi="Calibri" w:cs="Calibri"/>
          <w:color w:val="000000"/>
        </w:rPr>
        <w:t>FFS: details, whether multiple slots which constitute a TOT are consecutive or non-consecutive physical slots for UL transmissions</w:t>
      </w:r>
    </w:p>
    <w:p w14:paraId="5A7A2985" w14:textId="77777777" w:rsidR="006A6155" w:rsidRPr="00F11930" w:rsidRDefault="006A6155" w:rsidP="006A6155">
      <w:pPr>
        <w:pStyle w:val="ListParagraph"/>
        <w:numPr>
          <w:ilvl w:val="0"/>
          <w:numId w:val="36"/>
        </w:numPr>
        <w:overflowPunct/>
        <w:autoSpaceDE/>
        <w:autoSpaceDN/>
        <w:adjustRightInd/>
        <w:spacing w:line="252" w:lineRule="auto"/>
        <w:jc w:val="both"/>
        <w:textAlignment w:val="auto"/>
        <w:rPr>
          <w:rFonts w:ascii="Calibri" w:hAnsi="Calibri" w:cs="Calibri"/>
          <w:b/>
          <w:bCs/>
          <w:color w:val="000000"/>
        </w:rPr>
      </w:pPr>
      <w:r w:rsidRPr="00F11930">
        <w:rPr>
          <w:rFonts w:ascii="Calibri" w:hAnsi="Calibri" w:cs="Calibri"/>
          <w:color w:val="000000"/>
        </w:rPr>
        <w:t xml:space="preserve">FFS: other details. </w:t>
      </w:r>
    </w:p>
    <w:p w14:paraId="1B97A717" w14:textId="77777777" w:rsidR="006A6155" w:rsidRPr="00F11930" w:rsidRDefault="006A6155" w:rsidP="006A6155">
      <w:pPr>
        <w:pStyle w:val="ListParagraph"/>
        <w:numPr>
          <w:ilvl w:val="0"/>
          <w:numId w:val="37"/>
        </w:numPr>
        <w:overflowPunct/>
        <w:autoSpaceDE/>
        <w:autoSpaceDN/>
        <w:adjustRightInd/>
        <w:spacing w:line="252" w:lineRule="auto"/>
        <w:jc w:val="both"/>
        <w:textAlignment w:val="auto"/>
        <w:rPr>
          <w:rFonts w:ascii="Calibri" w:hAnsi="Calibri" w:cs="Calibri"/>
          <w:b/>
          <w:bCs/>
          <w:color w:val="000000"/>
        </w:rPr>
      </w:pPr>
      <w:r w:rsidRPr="00F11930">
        <w:rPr>
          <w:rFonts w:ascii="Calibri" w:hAnsi="Calibri" w:cs="Calibri"/>
          <w:color w:val="000000"/>
          <w:lang w:eastAsia="zh-CN"/>
        </w:rPr>
        <w:t>FFS: whether such concept will be specified or not.</w:t>
      </w:r>
    </w:p>
    <w:p w14:paraId="0F528824" w14:textId="77777777" w:rsidR="006A6155" w:rsidRPr="002558B0" w:rsidRDefault="006A6155" w:rsidP="006A6155">
      <w:pPr>
        <w:jc w:val="both"/>
      </w:pPr>
      <w:r w:rsidRPr="002558B0">
        <w:rPr>
          <w:highlight w:val="green"/>
        </w:rPr>
        <w:t>Agreements</w:t>
      </w:r>
      <w:r w:rsidRPr="002558B0">
        <w:rPr>
          <w:b/>
          <w:bCs/>
        </w:rPr>
        <w:t>:</w:t>
      </w:r>
    </w:p>
    <w:p w14:paraId="6C3D7CF4" w14:textId="77777777" w:rsidR="006A6155" w:rsidRPr="002558B0" w:rsidRDefault="006A6155" w:rsidP="006A6155">
      <w:pPr>
        <w:jc w:val="both"/>
      </w:pPr>
      <w:r w:rsidRPr="002558B0">
        <w:t>For the definition of a single TBoMS, down select among the following options:</w:t>
      </w:r>
    </w:p>
    <w:p w14:paraId="0DEF9F78" w14:textId="77777777" w:rsidR="006A6155" w:rsidRPr="002558B0" w:rsidRDefault="006A6155" w:rsidP="006A6155">
      <w:pPr>
        <w:numPr>
          <w:ilvl w:val="0"/>
          <w:numId w:val="38"/>
        </w:numPr>
        <w:overflowPunct/>
        <w:autoSpaceDE/>
        <w:autoSpaceDN/>
        <w:adjustRightInd/>
        <w:spacing w:line="252" w:lineRule="auto"/>
        <w:jc w:val="both"/>
        <w:textAlignment w:val="auto"/>
        <w:rPr>
          <w:rFonts w:eastAsia="Times New Roman"/>
        </w:rPr>
      </w:pPr>
      <w:r w:rsidRPr="002558B0">
        <w:rPr>
          <w:rFonts w:eastAsia="Times New Roman"/>
          <w:b/>
          <w:bCs/>
        </w:rPr>
        <w:t>Option 1</w:t>
      </w:r>
      <w:r w:rsidRPr="002558B0">
        <w:rPr>
          <w:rFonts w:eastAsia="Times New Roman"/>
        </w:rPr>
        <w:t xml:space="preserve">: Only one TOT is determined for a TBoMS. The TB is transmitted on the TOT using a single RV. </w:t>
      </w:r>
    </w:p>
    <w:p w14:paraId="3CC577C4" w14:textId="77777777" w:rsidR="006A6155" w:rsidRPr="002558B0" w:rsidRDefault="006A6155" w:rsidP="006A6155">
      <w:pPr>
        <w:numPr>
          <w:ilvl w:val="1"/>
          <w:numId w:val="38"/>
        </w:numPr>
        <w:overflowPunct/>
        <w:autoSpaceDE/>
        <w:autoSpaceDN/>
        <w:adjustRightInd/>
        <w:spacing w:line="252" w:lineRule="auto"/>
        <w:jc w:val="both"/>
        <w:textAlignment w:val="auto"/>
        <w:rPr>
          <w:rFonts w:eastAsia="Times New Roman"/>
        </w:rPr>
      </w:pPr>
      <w:r w:rsidRPr="002558B0">
        <w:rPr>
          <w:rFonts w:eastAsia="Times New Roman"/>
        </w:rPr>
        <w:t>FFS: whether and how the single RV is rate matched across the TOT, e.g., continuous rate-matching across the TOT, rate matched for each slot and so on.</w:t>
      </w:r>
    </w:p>
    <w:p w14:paraId="7E906461" w14:textId="77777777" w:rsidR="006A6155" w:rsidRPr="002558B0" w:rsidRDefault="006A6155" w:rsidP="006A6155">
      <w:pPr>
        <w:numPr>
          <w:ilvl w:val="0"/>
          <w:numId w:val="38"/>
        </w:numPr>
        <w:overflowPunct/>
        <w:autoSpaceDE/>
        <w:autoSpaceDN/>
        <w:adjustRightInd/>
        <w:spacing w:line="252" w:lineRule="auto"/>
        <w:jc w:val="both"/>
        <w:textAlignment w:val="auto"/>
        <w:rPr>
          <w:rFonts w:eastAsia="Times New Roman"/>
        </w:rPr>
      </w:pPr>
      <w:r w:rsidRPr="002558B0">
        <w:rPr>
          <w:rFonts w:eastAsia="Times New Roman"/>
          <w:b/>
          <w:bCs/>
        </w:rPr>
        <w:t>Option 2</w:t>
      </w:r>
      <w:r w:rsidRPr="002558B0">
        <w:rPr>
          <w:rFonts w:eastAsia="Times New Roman"/>
        </w:rPr>
        <w:t>: Only one TOT is determined for a TBoMS. The TB is transmitted on the TOT using different RVs.</w:t>
      </w:r>
    </w:p>
    <w:p w14:paraId="0467D6B3" w14:textId="77777777" w:rsidR="006A6155" w:rsidRPr="002558B0" w:rsidRDefault="006A6155" w:rsidP="006A6155">
      <w:pPr>
        <w:numPr>
          <w:ilvl w:val="1"/>
          <w:numId w:val="38"/>
        </w:numPr>
        <w:overflowPunct/>
        <w:autoSpaceDE/>
        <w:autoSpaceDN/>
        <w:adjustRightInd/>
        <w:spacing w:line="252" w:lineRule="auto"/>
        <w:jc w:val="both"/>
        <w:textAlignment w:val="auto"/>
        <w:rPr>
          <w:rFonts w:eastAsia="Times New Roman"/>
        </w:rPr>
      </w:pPr>
      <w:r w:rsidRPr="002558B0">
        <w:rPr>
          <w:rFonts w:eastAsia="Times New Roman"/>
        </w:rPr>
        <w:t xml:space="preserve">FFS: how RV index is refreshed within the TOT, e.g. after each slot boundary, at every jump between two non-contiguous resources, if any, and so on. </w:t>
      </w:r>
    </w:p>
    <w:p w14:paraId="1EA45570" w14:textId="77777777" w:rsidR="006A6155" w:rsidRPr="002558B0" w:rsidRDefault="006A6155" w:rsidP="006A6155">
      <w:pPr>
        <w:numPr>
          <w:ilvl w:val="0"/>
          <w:numId w:val="38"/>
        </w:numPr>
        <w:overflowPunct/>
        <w:autoSpaceDE/>
        <w:autoSpaceDN/>
        <w:adjustRightInd/>
        <w:spacing w:line="252" w:lineRule="auto"/>
        <w:jc w:val="both"/>
        <w:textAlignment w:val="auto"/>
        <w:rPr>
          <w:rFonts w:eastAsia="Times New Roman"/>
        </w:rPr>
      </w:pPr>
      <w:r w:rsidRPr="002558B0">
        <w:rPr>
          <w:rFonts w:eastAsia="Times New Roman"/>
          <w:b/>
          <w:bCs/>
        </w:rPr>
        <w:t>Option 3</w:t>
      </w:r>
      <w:r w:rsidRPr="002558B0">
        <w:rPr>
          <w:rFonts w:eastAsia="Times New Roman"/>
        </w:rPr>
        <w:t xml:space="preserve">: Multiple TOTs are determined for a TBoMS. The TB is transmitted on the multiple TOTs using a single RV. </w:t>
      </w:r>
    </w:p>
    <w:p w14:paraId="216E7D4F" w14:textId="77777777" w:rsidR="006A6155" w:rsidRPr="002558B0" w:rsidRDefault="006A6155" w:rsidP="006A6155">
      <w:pPr>
        <w:numPr>
          <w:ilvl w:val="1"/>
          <w:numId w:val="38"/>
        </w:numPr>
        <w:overflowPunct/>
        <w:autoSpaceDE/>
        <w:autoSpaceDN/>
        <w:adjustRightInd/>
        <w:spacing w:line="252" w:lineRule="auto"/>
        <w:jc w:val="both"/>
        <w:textAlignment w:val="auto"/>
        <w:rPr>
          <w:rFonts w:eastAsia="Times New Roman"/>
        </w:rPr>
      </w:pPr>
      <w:r w:rsidRPr="002558B0">
        <w:rPr>
          <w:rFonts w:eastAsia="Times New Roman"/>
        </w:rPr>
        <w:t xml:space="preserve">FFS: how the single RV is rate matched across single or multiple TOTs, e.g., rate matched for each TOT, rate matched for all the TOTs, rate matched for each slot and so on. </w:t>
      </w:r>
    </w:p>
    <w:p w14:paraId="26CA0E73" w14:textId="77777777" w:rsidR="006A6155" w:rsidRPr="002558B0" w:rsidRDefault="006A6155" w:rsidP="006A6155">
      <w:pPr>
        <w:numPr>
          <w:ilvl w:val="0"/>
          <w:numId w:val="38"/>
        </w:numPr>
        <w:overflowPunct/>
        <w:autoSpaceDE/>
        <w:autoSpaceDN/>
        <w:adjustRightInd/>
        <w:spacing w:line="252" w:lineRule="auto"/>
        <w:jc w:val="both"/>
        <w:textAlignment w:val="auto"/>
        <w:rPr>
          <w:rFonts w:eastAsia="Times New Roman"/>
        </w:rPr>
      </w:pPr>
      <w:r w:rsidRPr="002558B0">
        <w:rPr>
          <w:rFonts w:eastAsia="Times New Roman"/>
          <w:b/>
          <w:bCs/>
        </w:rPr>
        <w:t>Option 4</w:t>
      </w:r>
      <w:r w:rsidRPr="002558B0">
        <w:rPr>
          <w:rFonts w:eastAsia="Times New Roman"/>
        </w:rPr>
        <w:t xml:space="preserve">: Multiple TOTs are determined for a TBoMS. The TB is transmitted on the multiple TOTs using different RVs. </w:t>
      </w:r>
    </w:p>
    <w:p w14:paraId="309927F2" w14:textId="77777777" w:rsidR="006A6155" w:rsidRPr="002558B0" w:rsidRDefault="006A6155" w:rsidP="006A6155">
      <w:pPr>
        <w:numPr>
          <w:ilvl w:val="1"/>
          <w:numId w:val="38"/>
        </w:numPr>
        <w:overflowPunct/>
        <w:autoSpaceDE/>
        <w:autoSpaceDN/>
        <w:adjustRightInd/>
        <w:spacing w:line="252" w:lineRule="auto"/>
        <w:jc w:val="both"/>
        <w:textAlignment w:val="auto"/>
        <w:rPr>
          <w:rFonts w:eastAsia="Times New Roman"/>
        </w:rPr>
      </w:pPr>
      <w:r w:rsidRPr="002558B0">
        <w:rPr>
          <w:rFonts w:eastAsia="Times New Roman"/>
        </w:rPr>
        <w:t xml:space="preserve">FFS: whether and how RV index is refreshed within one TOT, e.g. after each slot boundary, at every jump between two non-contiguous resources, if any, and so on. </w:t>
      </w:r>
    </w:p>
    <w:p w14:paraId="7E9E4467" w14:textId="77777777" w:rsidR="006A6155" w:rsidRPr="002558B0" w:rsidRDefault="006A6155" w:rsidP="006A6155">
      <w:pPr>
        <w:numPr>
          <w:ilvl w:val="0"/>
          <w:numId w:val="38"/>
        </w:numPr>
        <w:overflowPunct/>
        <w:autoSpaceDE/>
        <w:autoSpaceDN/>
        <w:adjustRightInd/>
        <w:spacing w:line="252" w:lineRule="auto"/>
        <w:jc w:val="both"/>
        <w:textAlignment w:val="auto"/>
        <w:rPr>
          <w:rFonts w:eastAsia="Times New Roman"/>
        </w:rPr>
      </w:pPr>
      <w:r w:rsidRPr="002558B0">
        <w:rPr>
          <w:rFonts w:eastAsia="Times New Roman"/>
        </w:rPr>
        <w:t xml:space="preserve">FFS: the exact TBS determination procedure. </w:t>
      </w:r>
    </w:p>
    <w:p w14:paraId="18B32D4A" w14:textId="77777777" w:rsidR="006A6155" w:rsidRPr="002558B0" w:rsidRDefault="006A6155" w:rsidP="006A6155">
      <w:pPr>
        <w:numPr>
          <w:ilvl w:val="0"/>
          <w:numId w:val="38"/>
        </w:numPr>
        <w:overflowPunct/>
        <w:autoSpaceDE/>
        <w:autoSpaceDN/>
        <w:adjustRightInd/>
        <w:spacing w:line="252" w:lineRule="auto"/>
        <w:jc w:val="both"/>
        <w:textAlignment w:val="auto"/>
        <w:rPr>
          <w:rFonts w:eastAsia="Times New Roman"/>
        </w:rPr>
      </w:pPr>
      <w:r w:rsidRPr="002558B0">
        <w:rPr>
          <w:rFonts w:eastAsia="Times New Roman"/>
        </w:rPr>
        <w:lastRenderedPageBreak/>
        <w:t>FFS: whether a single TBoMS can be repeated or not.</w:t>
      </w:r>
    </w:p>
    <w:p w14:paraId="2CDD2BC1" w14:textId="77777777" w:rsidR="006A6155" w:rsidRDefault="006A6155" w:rsidP="006A6155">
      <w:pPr>
        <w:numPr>
          <w:ilvl w:val="0"/>
          <w:numId w:val="38"/>
        </w:numPr>
        <w:overflowPunct/>
        <w:autoSpaceDE/>
        <w:autoSpaceDN/>
        <w:adjustRightInd/>
        <w:spacing w:line="252" w:lineRule="auto"/>
        <w:jc w:val="both"/>
        <w:textAlignment w:val="auto"/>
        <w:rPr>
          <w:rFonts w:eastAsia="Times New Roman"/>
        </w:rPr>
      </w:pPr>
      <w:r w:rsidRPr="002160F5">
        <w:rPr>
          <w:rFonts w:eastAsia="Times New Roman"/>
        </w:rPr>
        <w:t xml:space="preserve">FFS: other implications, e.g., power control, collision handling and so on. </w:t>
      </w:r>
    </w:p>
    <w:p w14:paraId="1743BF9C" w14:textId="7DF00776" w:rsidR="00B44E81" w:rsidRDefault="00B44E81" w:rsidP="006A6155">
      <w:r>
        <w:t xml:space="preserve">With these </w:t>
      </w:r>
      <w:r w:rsidR="002D32FC">
        <w:t>agreements</w:t>
      </w:r>
      <w:r>
        <w:t xml:space="preserve"> in mind, we present our views on TBoMS in this document.</w:t>
      </w:r>
    </w:p>
    <w:p w14:paraId="0822BAB8" w14:textId="3761E2CF" w:rsidR="00017485" w:rsidRDefault="00D97D65" w:rsidP="00016124">
      <w:pPr>
        <w:pStyle w:val="Heading1"/>
        <w:jc w:val="both"/>
        <w:rPr>
          <w:rFonts w:ascii="Times New Roman" w:hAnsi="Times New Roman"/>
          <w:lang w:val="en-US"/>
        </w:rPr>
      </w:pPr>
      <w:r>
        <w:rPr>
          <w:rFonts w:ascii="Times New Roman" w:hAnsi="Times New Roman"/>
          <w:lang w:val="en-US"/>
        </w:rPr>
        <w:t>TBoMS</w:t>
      </w:r>
      <w:r w:rsidR="00462F56">
        <w:rPr>
          <w:rFonts w:ascii="Times New Roman" w:hAnsi="Times New Roman"/>
          <w:lang w:val="en-US"/>
        </w:rPr>
        <w:t xml:space="preserve"> Transmissions</w:t>
      </w:r>
      <w:r w:rsidR="00017485">
        <w:rPr>
          <w:rFonts w:ascii="Times New Roman" w:hAnsi="Times New Roman"/>
          <w:lang w:val="en-US"/>
        </w:rPr>
        <w:t xml:space="preserve"> </w:t>
      </w:r>
    </w:p>
    <w:p w14:paraId="14B06632" w14:textId="7B690CF3" w:rsidR="00462F56" w:rsidRDefault="00017485" w:rsidP="00017485">
      <w:pPr>
        <w:pStyle w:val="Heading2"/>
      </w:pPr>
      <w:r>
        <w:t>TDRA Aspects</w:t>
      </w:r>
    </w:p>
    <w:p w14:paraId="4C7208A9" w14:textId="0316D820" w:rsidR="00366C1C" w:rsidRDefault="00366C1C" w:rsidP="00366C1C">
      <w:r>
        <w:t>How time domain resources spread across contiguous or noncontiguous slots are pooled together and used towards TBoMS forms the core aspect of this section.</w:t>
      </w:r>
    </w:p>
    <w:p w14:paraId="4958190A" w14:textId="19BC2ADA" w:rsidR="00366C1C" w:rsidRDefault="007C2EAE" w:rsidP="00366C1C">
      <w:r>
        <w:t>To motivate the discussion in this section, we begin by considering a TDD system with a DDDU slot pattern. I</w:t>
      </w:r>
      <w:r w:rsidR="00366C1C">
        <w:t xml:space="preserve">n such a setup, there are no contiguous uplink slots, and a TBoMS spanning 4 uplink slots </w:t>
      </w:r>
      <w:proofErr w:type="gramStart"/>
      <w:r w:rsidR="00366C1C">
        <w:t>has to</w:t>
      </w:r>
      <w:proofErr w:type="gramEnd"/>
      <w:r w:rsidR="00366C1C">
        <w:t xml:space="preserve"> necessarily pool together resources that are noncontiguous. </w:t>
      </w:r>
    </w:p>
    <w:p w14:paraId="5A75F547" w14:textId="348ECCB2" w:rsidR="00EF74F2" w:rsidRDefault="00EF74F2" w:rsidP="00EF74F2">
      <w:pPr>
        <w:overflowPunct/>
        <w:autoSpaceDE/>
        <w:autoSpaceDN/>
        <w:adjustRightInd/>
        <w:spacing w:before="120" w:after="120" w:line="276" w:lineRule="auto"/>
        <w:jc w:val="both"/>
        <w:textAlignment w:val="auto"/>
        <w:rPr>
          <w:lang w:eastAsia="zh-CN"/>
        </w:rPr>
      </w:pPr>
      <w:r>
        <w:rPr>
          <w:lang w:eastAsia="zh-CN"/>
        </w:rPr>
        <w:t>Two options emerge in such a scenario</w:t>
      </w:r>
      <w:r w:rsidR="000F7B85">
        <w:rPr>
          <w:lang w:eastAsia="zh-CN"/>
        </w:rPr>
        <w:t xml:space="preserve">, as show in </w:t>
      </w:r>
      <w:r w:rsidR="000F7B85">
        <w:rPr>
          <w:lang w:eastAsia="zh-CN"/>
        </w:rPr>
        <w:fldChar w:fldCharType="begin"/>
      </w:r>
      <w:r w:rsidR="000F7B85">
        <w:rPr>
          <w:lang w:eastAsia="zh-CN"/>
        </w:rPr>
        <w:instrText xml:space="preserve"> REF _Ref68609735 \h </w:instrText>
      </w:r>
      <w:r w:rsidR="000F7B85">
        <w:rPr>
          <w:lang w:eastAsia="zh-CN"/>
        </w:rPr>
      </w:r>
      <w:r w:rsidR="000F7B85">
        <w:rPr>
          <w:lang w:eastAsia="zh-CN"/>
        </w:rPr>
        <w:fldChar w:fldCharType="separate"/>
      </w:r>
      <w:r w:rsidR="00E22770">
        <w:t xml:space="preserve">Figure </w:t>
      </w:r>
      <w:r w:rsidR="00E22770">
        <w:rPr>
          <w:noProof/>
        </w:rPr>
        <w:t>1</w:t>
      </w:r>
      <w:r w:rsidR="000F7B85">
        <w:rPr>
          <w:lang w:eastAsia="zh-CN"/>
        </w:rPr>
        <w:fldChar w:fldCharType="end"/>
      </w:r>
      <w:r>
        <w:rPr>
          <w:lang w:eastAsia="zh-CN"/>
        </w:rPr>
        <w:t>. One can either pool resources across 4 uplink slots and view them as a single contiguous resource of 56 symbols, and setup a contiguous PUSCH transmission going across all 4 slots or alternately, one may view resources across these 4 uplink slots as 4 segments of a single TBoMS transmission and take a modular approach to setting up the TBoMS transmission by viewing this as 4 separate segments of a TBoMS transmission.</w:t>
      </w:r>
      <w:r w:rsidR="00EB3B21">
        <w:rPr>
          <w:lang w:eastAsia="zh-CN"/>
        </w:rPr>
        <w:t xml:space="preserve"> In addition, each segment can be self-contained i.e., transmission in the segment has its own RV.</w:t>
      </w:r>
    </w:p>
    <w:p w14:paraId="6BB3594E" w14:textId="77777777" w:rsidR="00EF74F2" w:rsidRDefault="00EF74F2" w:rsidP="00366C1C"/>
    <w:p w14:paraId="1E821AF4" w14:textId="132F9E96" w:rsidR="008D23FB" w:rsidRDefault="000F7B85" w:rsidP="008D23FB">
      <w:pPr>
        <w:keepNext/>
        <w:jc w:val="center"/>
      </w:pPr>
      <w:r>
        <w:rPr>
          <w:noProof/>
        </w:rPr>
        <w:drawing>
          <wp:inline distT="0" distB="0" distL="0" distR="0" wp14:anchorId="388592E1" wp14:editId="6A39B864">
            <wp:extent cx="6021396" cy="25905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51271" cy="2603422"/>
                    </a:xfrm>
                    <a:prstGeom prst="rect">
                      <a:avLst/>
                    </a:prstGeom>
                    <a:noFill/>
                  </pic:spPr>
                </pic:pic>
              </a:graphicData>
            </a:graphic>
          </wp:inline>
        </w:drawing>
      </w:r>
    </w:p>
    <w:p w14:paraId="5EE0A4A1" w14:textId="481C6119" w:rsidR="00366C1C" w:rsidRDefault="008D23FB" w:rsidP="008D23FB">
      <w:pPr>
        <w:pStyle w:val="Caption"/>
        <w:jc w:val="center"/>
      </w:pPr>
      <w:bookmarkStart w:id="3" w:name="_Ref68609735"/>
      <w:r>
        <w:t xml:space="preserve">Figure </w:t>
      </w:r>
      <w:r>
        <w:fldChar w:fldCharType="begin"/>
      </w:r>
      <w:r>
        <w:instrText xml:space="preserve"> SEQ Figure \* ARABIC </w:instrText>
      </w:r>
      <w:r>
        <w:fldChar w:fldCharType="separate"/>
      </w:r>
      <w:r w:rsidR="00E22770">
        <w:rPr>
          <w:noProof/>
        </w:rPr>
        <w:t>1</w:t>
      </w:r>
      <w:r>
        <w:fldChar w:fldCharType="end"/>
      </w:r>
      <w:bookmarkEnd w:id="3"/>
      <w:r>
        <w:t xml:space="preserve"> Two approaches to pooling resources across </w:t>
      </w:r>
      <w:proofErr w:type="spellStart"/>
      <w:r>
        <w:t>noncontiguous</w:t>
      </w:r>
      <w:proofErr w:type="spellEnd"/>
      <w:r>
        <w:t xml:space="preserve"> slots</w:t>
      </w:r>
      <w:r w:rsidR="000F7B85" w:rsidRPr="000F7B85">
        <w:rPr>
          <w:rFonts w:eastAsia="SimSun"/>
          <w:i w:val="0"/>
          <w:iCs w:val="0"/>
          <w:noProof/>
          <w:color w:val="auto"/>
          <w:sz w:val="20"/>
          <w:szCs w:val="20"/>
          <w:lang w:val="en-US"/>
        </w:rPr>
        <w:t xml:space="preserve"> </w:t>
      </w:r>
    </w:p>
    <w:p w14:paraId="2BD17F18" w14:textId="38789B25" w:rsidR="00E8739F" w:rsidRDefault="00E8739F" w:rsidP="00366C1C">
      <w:pPr>
        <w:overflowPunct/>
        <w:autoSpaceDE/>
        <w:autoSpaceDN/>
        <w:adjustRightInd/>
        <w:spacing w:before="120" w:after="120" w:line="276" w:lineRule="auto"/>
        <w:jc w:val="both"/>
        <w:textAlignment w:val="auto"/>
        <w:rPr>
          <w:lang w:eastAsia="zh-CN"/>
        </w:rPr>
      </w:pPr>
      <w:r>
        <w:rPr>
          <w:lang w:eastAsia="zh-CN"/>
        </w:rPr>
        <w:t xml:space="preserve">The modular approach is our preferred choice since it </w:t>
      </w:r>
      <w:r w:rsidR="00F521B6">
        <w:rPr>
          <w:lang w:eastAsia="zh-CN"/>
        </w:rPr>
        <w:t>helps TBoMS coexist with several other spec features and is also implementation friendly. We elaborate further on these aspect in the subsequent sections.</w:t>
      </w:r>
    </w:p>
    <w:p w14:paraId="330F609D" w14:textId="183B90D1" w:rsidR="00F521B6" w:rsidRDefault="00F521B6" w:rsidP="00366C1C">
      <w:pPr>
        <w:overflowPunct/>
        <w:autoSpaceDE/>
        <w:autoSpaceDN/>
        <w:adjustRightInd/>
        <w:spacing w:before="120" w:after="120" w:line="276" w:lineRule="auto"/>
        <w:jc w:val="both"/>
        <w:textAlignment w:val="auto"/>
        <w:rPr>
          <w:lang w:eastAsia="zh-CN"/>
        </w:rPr>
      </w:pPr>
      <w:r w:rsidRPr="00F521B6">
        <w:rPr>
          <w:b/>
          <w:lang w:eastAsia="zh-CN"/>
        </w:rPr>
        <w:t>Proposal</w:t>
      </w:r>
      <w:r w:rsidR="00574132">
        <w:rPr>
          <w:b/>
          <w:lang w:eastAsia="zh-CN"/>
        </w:rPr>
        <w:t xml:space="preserve"> </w:t>
      </w:r>
      <w:r w:rsidR="002D32FC">
        <w:rPr>
          <w:b/>
          <w:lang w:eastAsia="zh-CN"/>
        </w:rPr>
        <w:t>1</w:t>
      </w:r>
      <w:r w:rsidRPr="00F521B6">
        <w:rPr>
          <w:b/>
          <w:lang w:eastAsia="zh-CN"/>
        </w:rPr>
        <w:t>:</w:t>
      </w:r>
      <w:r>
        <w:rPr>
          <w:lang w:eastAsia="zh-CN"/>
        </w:rPr>
        <w:t xml:space="preserve"> Prioritize a modular approach to TBoMS transmission, i.e., when resources for TBoMS span across multiple contiguous/noncontiguous slots, view resources in each slot as one self-contained segment of a longer transmission.</w:t>
      </w:r>
    </w:p>
    <w:p w14:paraId="7DBCC4EC" w14:textId="5E48B9B4" w:rsidR="00366C1C" w:rsidRDefault="00F521B6" w:rsidP="00F521B6">
      <w:pPr>
        <w:overflowPunct/>
        <w:autoSpaceDE/>
        <w:autoSpaceDN/>
        <w:adjustRightInd/>
        <w:spacing w:before="120" w:after="120" w:line="276" w:lineRule="auto"/>
        <w:jc w:val="both"/>
        <w:textAlignment w:val="auto"/>
        <w:rPr>
          <w:lang w:eastAsia="zh-CN"/>
        </w:rPr>
      </w:pPr>
      <w:r>
        <w:rPr>
          <w:lang w:eastAsia="zh-CN"/>
        </w:rPr>
        <w:t xml:space="preserve">This leads us to the </w:t>
      </w:r>
      <w:r w:rsidR="00366C1C">
        <w:rPr>
          <w:lang w:eastAsia="zh-CN"/>
        </w:rPr>
        <w:t>TDRA considerations that were discussed in the previous meeting</w:t>
      </w:r>
      <w:r w:rsidR="00D73FCC">
        <w:rPr>
          <w:lang w:eastAsia="zh-CN"/>
        </w:rPr>
        <w:t>s</w:t>
      </w:r>
      <w:r w:rsidR="00366C1C">
        <w:rPr>
          <w:lang w:eastAsia="zh-CN"/>
        </w:rPr>
        <w:t xml:space="preserve">. </w:t>
      </w:r>
      <w:proofErr w:type="gramStart"/>
      <w:r w:rsidR="00366C1C">
        <w:rPr>
          <w:lang w:eastAsia="zh-CN"/>
        </w:rPr>
        <w:t xml:space="preserve">In </w:t>
      </w:r>
      <w:r>
        <w:rPr>
          <w:lang w:eastAsia="zh-CN"/>
        </w:rPr>
        <w:t>particular</w:t>
      </w:r>
      <w:r w:rsidR="00366C1C">
        <w:rPr>
          <w:lang w:eastAsia="zh-CN"/>
        </w:rPr>
        <w:t>, RAN1</w:t>
      </w:r>
      <w:proofErr w:type="gramEnd"/>
      <w:r w:rsidR="00366C1C">
        <w:rPr>
          <w:lang w:eastAsia="zh-CN"/>
        </w:rPr>
        <w:t xml:space="preserve"> came to the following agreement in </w:t>
      </w:r>
      <w:r w:rsidR="00972583">
        <w:rPr>
          <w:lang w:eastAsia="zh-CN"/>
        </w:rPr>
        <w:t>RAN1-104e</w:t>
      </w:r>
      <w:r w:rsidR="00366C1C">
        <w:rPr>
          <w:lang w:eastAsia="zh-CN"/>
        </w:rPr>
        <w:t xml:space="preserve"> meeting:</w:t>
      </w:r>
    </w:p>
    <w:p w14:paraId="4DDB7EE8" w14:textId="77777777" w:rsidR="00366C1C" w:rsidRPr="00113975" w:rsidRDefault="00366C1C" w:rsidP="00366C1C">
      <w:pPr>
        <w:rPr>
          <w:b/>
          <w:bCs/>
        </w:rPr>
      </w:pPr>
      <w:r w:rsidRPr="00113975">
        <w:rPr>
          <w:lang w:eastAsia="zh-CN"/>
        </w:rPr>
        <w:t xml:space="preserve"> </w:t>
      </w:r>
      <w:r w:rsidRPr="00113975">
        <w:rPr>
          <w:b/>
          <w:bCs/>
          <w:highlight w:val="green"/>
        </w:rPr>
        <w:t>Agreement:</w:t>
      </w:r>
    </w:p>
    <w:p w14:paraId="78A056C8" w14:textId="77777777" w:rsidR="00366C1C" w:rsidRPr="000E112C" w:rsidRDefault="00366C1C" w:rsidP="00A160DC">
      <w:pPr>
        <w:numPr>
          <w:ilvl w:val="0"/>
          <w:numId w:val="30"/>
        </w:numPr>
        <w:overflowPunct/>
        <w:autoSpaceDE/>
        <w:autoSpaceDN/>
        <w:adjustRightInd/>
        <w:spacing w:after="0"/>
        <w:textAlignment w:val="auto"/>
      </w:pPr>
      <w:r w:rsidRPr="000E112C">
        <w:t>Consider one or two of the following options as starting points to design time domain resource determination of TBoMS</w:t>
      </w:r>
    </w:p>
    <w:p w14:paraId="3A2E21F4" w14:textId="77777777" w:rsidR="00366C1C" w:rsidRPr="00113975" w:rsidRDefault="00366C1C" w:rsidP="00A160DC">
      <w:pPr>
        <w:numPr>
          <w:ilvl w:val="1"/>
          <w:numId w:val="30"/>
        </w:numPr>
        <w:overflowPunct/>
        <w:autoSpaceDE/>
        <w:autoSpaceDN/>
        <w:adjustRightInd/>
        <w:spacing w:after="0"/>
        <w:textAlignment w:val="auto"/>
        <w:rPr>
          <w:color w:val="000000" w:themeColor="text1"/>
        </w:rPr>
      </w:pPr>
      <w:r w:rsidRPr="00113975">
        <w:rPr>
          <w:color w:val="000000" w:themeColor="text1"/>
        </w:rPr>
        <w:lastRenderedPageBreak/>
        <w:t>PUSCH repetition type A like TDRA, i.e., the number of allocated symbols is the same in each slot.</w:t>
      </w:r>
    </w:p>
    <w:p w14:paraId="16D96BAE" w14:textId="77777777" w:rsidR="00366C1C" w:rsidRDefault="00366C1C" w:rsidP="00A160DC">
      <w:pPr>
        <w:numPr>
          <w:ilvl w:val="1"/>
          <w:numId w:val="30"/>
        </w:numPr>
        <w:overflowPunct/>
        <w:autoSpaceDE/>
        <w:autoSpaceDN/>
        <w:adjustRightInd/>
        <w:spacing w:after="0"/>
        <w:textAlignment w:val="auto"/>
      </w:pPr>
      <w:r w:rsidRPr="000E112C">
        <w:t>PUSCH repetition type B like TDRA, i.e., the number of allocated symbols in each slot can be different</w:t>
      </w:r>
    </w:p>
    <w:p w14:paraId="48FEAA26" w14:textId="169CF817" w:rsidR="00F521B6" w:rsidRDefault="00F521B6" w:rsidP="00F521B6">
      <w:pPr>
        <w:overflowPunct/>
        <w:autoSpaceDE/>
        <w:autoSpaceDN/>
        <w:adjustRightInd/>
        <w:spacing w:before="120" w:after="120" w:line="276" w:lineRule="auto"/>
        <w:jc w:val="both"/>
        <w:textAlignment w:val="auto"/>
        <w:rPr>
          <w:lang w:eastAsia="zh-CN"/>
        </w:rPr>
      </w:pPr>
      <w:r>
        <w:rPr>
          <w:lang w:eastAsia="zh-CN"/>
        </w:rPr>
        <w:t xml:space="preserve">Note that with TDD slot patterns such DDDU, it is important to enable TBoMS across noncontiguous slots. This necessity, along with our desire for a modular approach for TBoMS, lead us to Type A TDRA as a natural starting point for TBoMS. This is illustrated </w:t>
      </w:r>
      <w:r w:rsidR="005A74CC">
        <w:rPr>
          <w:lang w:eastAsia="zh-CN"/>
        </w:rPr>
        <w:t xml:space="preserve">in </w:t>
      </w:r>
      <w:r w:rsidR="005A74CC">
        <w:rPr>
          <w:lang w:eastAsia="zh-CN"/>
        </w:rPr>
        <w:fldChar w:fldCharType="begin"/>
      </w:r>
      <w:r w:rsidR="005A74CC">
        <w:rPr>
          <w:lang w:eastAsia="zh-CN"/>
        </w:rPr>
        <w:instrText xml:space="preserve"> REF _Ref68610779 \h </w:instrText>
      </w:r>
      <w:r w:rsidR="005A74CC">
        <w:rPr>
          <w:lang w:eastAsia="zh-CN"/>
        </w:rPr>
      </w:r>
      <w:r w:rsidR="005A74CC">
        <w:rPr>
          <w:lang w:eastAsia="zh-CN"/>
        </w:rPr>
        <w:fldChar w:fldCharType="separate"/>
      </w:r>
      <w:r w:rsidR="00E22770">
        <w:t xml:space="preserve">Figure </w:t>
      </w:r>
      <w:r w:rsidR="00E22770">
        <w:rPr>
          <w:noProof/>
        </w:rPr>
        <w:t>2</w:t>
      </w:r>
      <w:r w:rsidR="005A74CC">
        <w:rPr>
          <w:lang w:eastAsia="zh-CN"/>
        </w:rPr>
        <w:fldChar w:fldCharType="end"/>
      </w:r>
      <w:r>
        <w:rPr>
          <w:lang w:eastAsia="zh-CN"/>
        </w:rPr>
        <w:t xml:space="preserve">, where a multi-slot transmission across noncontiguous slots is configured using Type A style repetition. With the enhancements to Type A </w:t>
      </w:r>
      <w:r w:rsidR="00017485">
        <w:rPr>
          <w:lang w:eastAsia="zh-CN"/>
        </w:rPr>
        <w:t>repetitions that are under consideration, this provides a rather powerful framework to reuse for TBoMS.</w:t>
      </w:r>
    </w:p>
    <w:p w14:paraId="59FA3FA6" w14:textId="77777777" w:rsidR="005A74CC" w:rsidRDefault="005A74CC" w:rsidP="005A74CC">
      <w:pPr>
        <w:keepNext/>
        <w:overflowPunct/>
        <w:autoSpaceDE/>
        <w:autoSpaceDN/>
        <w:adjustRightInd/>
        <w:spacing w:before="120" w:after="120" w:line="276" w:lineRule="auto"/>
        <w:jc w:val="center"/>
        <w:textAlignment w:val="auto"/>
      </w:pPr>
      <w:r>
        <w:rPr>
          <w:noProof/>
          <w:lang w:eastAsia="zh-CN"/>
        </w:rPr>
        <w:drawing>
          <wp:inline distT="0" distB="0" distL="0" distR="0" wp14:anchorId="44E77CAB" wp14:editId="69A785BB">
            <wp:extent cx="4369254" cy="1885003"/>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3655" cy="1891216"/>
                    </a:xfrm>
                    <a:prstGeom prst="rect">
                      <a:avLst/>
                    </a:prstGeom>
                    <a:noFill/>
                  </pic:spPr>
                </pic:pic>
              </a:graphicData>
            </a:graphic>
          </wp:inline>
        </w:drawing>
      </w:r>
    </w:p>
    <w:p w14:paraId="6CD24553" w14:textId="58317276" w:rsidR="00F521B6" w:rsidRDefault="005A74CC" w:rsidP="005A74CC">
      <w:pPr>
        <w:pStyle w:val="Caption"/>
        <w:jc w:val="center"/>
        <w:rPr>
          <w:lang w:eastAsia="zh-CN"/>
        </w:rPr>
      </w:pPr>
      <w:bookmarkStart w:id="4" w:name="_Ref68610779"/>
      <w:r>
        <w:t xml:space="preserve">Figure </w:t>
      </w:r>
      <w:r>
        <w:fldChar w:fldCharType="begin"/>
      </w:r>
      <w:r>
        <w:instrText xml:space="preserve"> SEQ Figure \* ARABIC </w:instrText>
      </w:r>
      <w:r>
        <w:fldChar w:fldCharType="separate"/>
      </w:r>
      <w:r w:rsidR="00E22770">
        <w:rPr>
          <w:noProof/>
        </w:rPr>
        <w:t>2</w:t>
      </w:r>
      <w:r>
        <w:fldChar w:fldCharType="end"/>
      </w:r>
      <w:bookmarkEnd w:id="4"/>
      <w:r>
        <w:t xml:space="preserve"> Repurposing TDRA based on PUSCH Type A repetitions for TBoMS</w:t>
      </w:r>
    </w:p>
    <w:p w14:paraId="0FDCC131" w14:textId="6114A8FD" w:rsidR="00F521B6" w:rsidRDefault="00017485" w:rsidP="00F521B6">
      <w:pPr>
        <w:overflowPunct/>
        <w:autoSpaceDE/>
        <w:autoSpaceDN/>
        <w:adjustRightInd/>
        <w:spacing w:before="120" w:after="120" w:line="276" w:lineRule="auto"/>
        <w:jc w:val="both"/>
        <w:textAlignment w:val="auto"/>
        <w:rPr>
          <w:lang w:eastAsia="zh-CN"/>
        </w:rPr>
      </w:pPr>
      <w:r>
        <w:rPr>
          <w:lang w:eastAsia="zh-CN"/>
        </w:rPr>
        <w:t>B</w:t>
      </w:r>
      <w:r w:rsidR="00F521B6">
        <w:rPr>
          <w:lang w:eastAsia="zh-CN"/>
        </w:rPr>
        <w:t>ased on the discussion above, we make the following proposal:</w:t>
      </w:r>
    </w:p>
    <w:p w14:paraId="22EC1D57" w14:textId="6279CC24" w:rsidR="00F521B6" w:rsidRDefault="00F521B6" w:rsidP="00F521B6">
      <w:pPr>
        <w:overflowPunct/>
        <w:autoSpaceDE/>
        <w:autoSpaceDN/>
        <w:adjustRightInd/>
        <w:spacing w:before="120" w:after="120" w:line="276" w:lineRule="auto"/>
        <w:jc w:val="both"/>
        <w:textAlignment w:val="auto"/>
        <w:rPr>
          <w:lang w:eastAsia="zh-CN"/>
        </w:rPr>
      </w:pPr>
      <w:r w:rsidRPr="00113975">
        <w:rPr>
          <w:b/>
          <w:color w:val="000000" w:themeColor="text1"/>
          <w:lang w:eastAsia="zh-CN"/>
        </w:rPr>
        <w:t>Proposal</w:t>
      </w:r>
      <w:r w:rsidR="00574132">
        <w:rPr>
          <w:b/>
          <w:color w:val="000000" w:themeColor="text1"/>
          <w:lang w:eastAsia="zh-CN"/>
        </w:rPr>
        <w:t xml:space="preserve"> </w:t>
      </w:r>
      <w:r w:rsidR="00E22770">
        <w:rPr>
          <w:b/>
          <w:color w:val="000000" w:themeColor="text1"/>
          <w:lang w:eastAsia="zh-CN"/>
        </w:rPr>
        <w:t>2</w:t>
      </w:r>
      <w:r w:rsidRPr="00113975">
        <w:rPr>
          <w:b/>
          <w:color w:val="000000" w:themeColor="text1"/>
          <w:lang w:eastAsia="zh-CN"/>
        </w:rPr>
        <w:t xml:space="preserve">: </w:t>
      </w:r>
      <w:r>
        <w:rPr>
          <w:lang w:eastAsia="zh-CN"/>
        </w:rPr>
        <w:t>PUSCH repetition Type A serves as a starting point for time domain resource determination of TBoMS.</w:t>
      </w:r>
    </w:p>
    <w:p w14:paraId="2970F303" w14:textId="6339B2D0" w:rsidR="009A1EFD" w:rsidRDefault="00017485" w:rsidP="00017485">
      <w:pPr>
        <w:pStyle w:val="Heading2"/>
      </w:pPr>
      <w:r>
        <w:t>Building blocks for TBoMS</w:t>
      </w:r>
    </w:p>
    <w:p w14:paraId="378DD398" w14:textId="08723ECF" w:rsidR="003920A0" w:rsidRPr="003920A0" w:rsidRDefault="003920A0" w:rsidP="003920A0">
      <w:pPr>
        <w:rPr>
          <w:lang w:val="en-GB"/>
        </w:rPr>
      </w:pPr>
      <w:r>
        <w:rPr>
          <w:lang w:val="en-GB"/>
        </w:rPr>
        <w:t>We now turn our attention to defining the Transmission Occasion of a TBoMS</w:t>
      </w:r>
      <w:r w:rsidR="00E22770">
        <w:rPr>
          <w:lang w:val="en-GB"/>
        </w:rPr>
        <w:t xml:space="preserve"> (TOT)</w:t>
      </w:r>
      <w:r>
        <w:rPr>
          <w:lang w:val="en-GB"/>
        </w:rPr>
        <w:t>. In the previous meeting, the following working assumption was agreed upon:</w:t>
      </w:r>
    </w:p>
    <w:p w14:paraId="5DF65D33" w14:textId="77777777" w:rsidR="003920A0" w:rsidRPr="00E22770" w:rsidRDefault="003920A0" w:rsidP="003920A0">
      <w:pPr>
        <w:jc w:val="both"/>
        <w:rPr>
          <w:highlight w:val="darkYellow"/>
          <w:lang w:eastAsia="zh-CN"/>
        </w:rPr>
      </w:pPr>
      <w:r w:rsidRPr="00E22770">
        <w:rPr>
          <w:highlight w:val="darkYellow"/>
        </w:rPr>
        <w:t>Working Assumption</w:t>
      </w:r>
    </w:p>
    <w:p w14:paraId="4F6268B6" w14:textId="77777777" w:rsidR="003920A0" w:rsidRPr="00E22770" w:rsidRDefault="003920A0" w:rsidP="003920A0">
      <w:pPr>
        <w:spacing w:line="252" w:lineRule="auto"/>
        <w:jc w:val="both"/>
        <w:rPr>
          <w:color w:val="000000"/>
          <w:lang w:eastAsia="zh-CN"/>
        </w:rPr>
      </w:pPr>
      <w:r w:rsidRPr="00E22770">
        <w:rPr>
          <w:color w:val="000000"/>
          <w:lang w:eastAsia="zh-CN"/>
        </w:rPr>
        <w:t xml:space="preserve">The concept of transmission occasion for TBoMS (TOT) is utilized for the purpose of discussion, where a TOT is constituted of time domain resources which </w:t>
      </w:r>
      <w:r w:rsidRPr="00E22770">
        <w:rPr>
          <w:lang w:eastAsia="zh-CN"/>
        </w:rPr>
        <w:t>may or may not</w:t>
      </w:r>
      <w:r w:rsidRPr="00E22770">
        <w:rPr>
          <w:color w:val="000000"/>
          <w:lang w:eastAsia="zh-CN"/>
        </w:rPr>
        <w:t xml:space="preserve"> span multiple slots</w:t>
      </w:r>
    </w:p>
    <w:p w14:paraId="0D57E4BD" w14:textId="77777777" w:rsidR="003920A0" w:rsidRPr="00E22770" w:rsidRDefault="003920A0" w:rsidP="003920A0">
      <w:pPr>
        <w:pStyle w:val="ListParagraph"/>
        <w:numPr>
          <w:ilvl w:val="0"/>
          <w:numId w:val="36"/>
        </w:numPr>
        <w:overflowPunct/>
        <w:autoSpaceDE/>
        <w:autoSpaceDN/>
        <w:adjustRightInd/>
        <w:spacing w:line="252" w:lineRule="auto"/>
        <w:textAlignment w:val="auto"/>
        <w:rPr>
          <w:color w:val="000000"/>
        </w:rPr>
      </w:pPr>
      <w:r w:rsidRPr="00E22770">
        <w:rPr>
          <w:color w:val="000000"/>
        </w:rPr>
        <w:t>FFS: details, whether multiple slots which constitute a TOT are consecutive or non-consecutive physical slots for UL transmissions</w:t>
      </w:r>
    </w:p>
    <w:p w14:paraId="7FEED93C" w14:textId="77777777" w:rsidR="003920A0" w:rsidRPr="00E22770" w:rsidRDefault="003920A0" w:rsidP="003920A0">
      <w:pPr>
        <w:pStyle w:val="ListParagraph"/>
        <w:numPr>
          <w:ilvl w:val="0"/>
          <w:numId w:val="36"/>
        </w:numPr>
        <w:overflowPunct/>
        <w:autoSpaceDE/>
        <w:autoSpaceDN/>
        <w:adjustRightInd/>
        <w:spacing w:line="252" w:lineRule="auto"/>
        <w:jc w:val="both"/>
        <w:textAlignment w:val="auto"/>
        <w:rPr>
          <w:b/>
          <w:bCs/>
          <w:color w:val="000000"/>
        </w:rPr>
      </w:pPr>
      <w:r w:rsidRPr="00E22770">
        <w:rPr>
          <w:color w:val="000000"/>
        </w:rPr>
        <w:t xml:space="preserve">FFS: other details. </w:t>
      </w:r>
    </w:p>
    <w:p w14:paraId="0910C3F1" w14:textId="77777777" w:rsidR="003920A0" w:rsidRPr="00E22770" w:rsidRDefault="003920A0" w:rsidP="003920A0">
      <w:pPr>
        <w:pStyle w:val="ListParagraph"/>
        <w:numPr>
          <w:ilvl w:val="0"/>
          <w:numId w:val="37"/>
        </w:numPr>
        <w:overflowPunct/>
        <w:autoSpaceDE/>
        <w:autoSpaceDN/>
        <w:adjustRightInd/>
        <w:spacing w:line="252" w:lineRule="auto"/>
        <w:jc w:val="both"/>
        <w:textAlignment w:val="auto"/>
        <w:rPr>
          <w:b/>
          <w:bCs/>
          <w:color w:val="000000"/>
        </w:rPr>
      </w:pPr>
      <w:r w:rsidRPr="00E22770">
        <w:rPr>
          <w:color w:val="000000"/>
          <w:lang w:eastAsia="zh-CN"/>
        </w:rPr>
        <w:t>FFS: whether such concept will be specified or not.</w:t>
      </w:r>
    </w:p>
    <w:p w14:paraId="1B1250B0" w14:textId="3BFA6B4E" w:rsidR="005A5F9F" w:rsidRDefault="005A5F9F" w:rsidP="005A5F9F">
      <w:pPr>
        <w:rPr>
          <w:lang w:val="en-GB"/>
        </w:rPr>
      </w:pPr>
    </w:p>
    <w:p w14:paraId="10F36F3F" w14:textId="1E0FD169" w:rsidR="003920A0" w:rsidRPr="005A5F9F" w:rsidRDefault="003920A0" w:rsidP="005A5F9F">
      <w:pPr>
        <w:rPr>
          <w:lang w:val="en-GB"/>
        </w:rPr>
      </w:pPr>
      <w:r>
        <w:rPr>
          <w:lang w:val="en-GB"/>
        </w:rPr>
        <w:t>In what follows, we aim to provide a clear definition for TOT with the eventual goal of choosing one of the four options that define a TBoMS.</w:t>
      </w:r>
    </w:p>
    <w:p w14:paraId="6D3FC069" w14:textId="63005F4C" w:rsidR="0091288C" w:rsidRDefault="00017485" w:rsidP="0091288C">
      <w:pPr>
        <w:jc w:val="both"/>
      </w:pPr>
      <w:r>
        <w:t xml:space="preserve">Transmission occasion of a regular PUSCH transmission is governed by </w:t>
      </w:r>
      <w:r w:rsidR="008A2692">
        <w:t xml:space="preserve">the SLIV and the slot within which the transmission is to </w:t>
      </w:r>
      <w:proofErr w:type="gramStart"/>
      <w:r w:rsidR="008A2692">
        <w:t>occur</w:t>
      </w:r>
      <w:proofErr w:type="gramEnd"/>
      <w:r w:rsidR="008A2692">
        <w:t xml:space="preserve"> and this concept </w:t>
      </w:r>
      <w:r>
        <w:t>is extensively used in the current spec</w:t>
      </w:r>
      <w:r w:rsidR="008A2692">
        <w:t>. For TBoMS, two broad directions emerge</w:t>
      </w:r>
      <w:r w:rsidR="005A74CC">
        <w:t xml:space="preserve">, as shown in </w:t>
      </w:r>
      <w:r w:rsidR="005A74CC">
        <w:fldChar w:fldCharType="begin"/>
      </w:r>
      <w:r w:rsidR="005A74CC">
        <w:instrText xml:space="preserve"> REF _Ref68611039 \h </w:instrText>
      </w:r>
      <w:r w:rsidR="005A74CC">
        <w:fldChar w:fldCharType="separate"/>
      </w:r>
      <w:r w:rsidR="00E22770">
        <w:t xml:space="preserve">Figure </w:t>
      </w:r>
      <w:r w:rsidR="00E22770">
        <w:rPr>
          <w:noProof/>
        </w:rPr>
        <w:t>3</w:t>
      </w:r>
      <w:r w:rsidR="005A74CC">
        <w:fldChar w:fldCharType="end"/>
      </w:r>
      <w:r w:rsidR="008A2692">
        <w:t>.</w:t>
      </w:r>
      <w:r w:rsidR="0091288C">
        <w:t xml:space="preserve"> </w:t>
      </w:r>
      <w:r w:rsidR="0091288C" w:rsidRPr="0091288C">
        <w:t xml:space="preserve">A transmission occasion of a </w:t>
      </w:r>
      <w:r w:rsidR="0091288C">
        <w:t>T</w:t>
      </w:r>
      <w:r w:rsidR="00890742">
        <w:t>B</w:t>
      </w:r>
      <w:r w:rsidR="0091288C">
        <w:t>oMS</w:t>
      </w:r>
      <w:r w:rsidR="0091288C" w:rsidRPr="0091288C">
        <w:t xml:space="preserve"> constitutes</w:t>
      </w:r>
      <w:r w:rsidR="0091288C">
        <w:t>:</w:t>
      </w:r>
    </w:p>
    <w:p w14:paraId="4D2B2DD5" w14:textId="636901D1" w:rsidR="0091288C" w:rsidRDefault="0091288C" w:rsidP="00A160DC">
      <w:pPr>
        <w:pStyle w:val="ListParagraph"/>
        <w:numPr>
          <w:ilvl w:val="0"/>
          <w:numId w:val="31"/>
        </w:numPr>
        <w:jc w:val="both"/>
      </w:pPr>
      <w:r w:rsidRPr="0091288C">
        <w:t xml:space="preserve">Option (a): one set of contiguous resources (symbols) spanning one or more slots </w:t>
      </w:r>
    </w:p>
    <w:p w14:paraId="12D5C2B5" w14:textId="6848D549" w:rsidR="008A2692" w:rsidRDefault="0091288C" w:rsidP="00A160DC">
      <w:pPr>
        <w:pStyle w:val="ListParagraph"/>
        <w:numPr>
          <w:ilvl w:val="0"/>
          <w:numId w:val="31"/>
        </w:numPr>
        <w:jc w:val="both"/>
      </w:pPr>
      <w:r w:rsidRPr="0091288C">
        <w:t>Option (b): multiple sets of disjoint contiguous resources</w:t>
      </w:r>
    </w:p>
    <w:p w14:paraId="17C79CE3" w14:textId="77777777" w:rsidR="005A74CC" w:rsidRDefault="0091288C" w:rsidP="005A74CC">
      <w:pPr>
        <w:keepNext/>
        <w:jc w:val="center"/>
      </w:pPr>
      <w:r>
        <w:rPr>
          <w:noProof/>
        </w:rPr>
        <w:lastRenderedPageBreak/>
        <w:drawing>
          <wp:inline distT="0" distB="0" distL="0" distR="0" wp14:anchorId="56288B7A" wp14:editId="2E839823">
            <wp:extent cx="5734685" cy="1483012"/>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3678" cy="1503440"/>
                    </a:xfrm>
                    <a:prstGeom prst="rect">
                      <a:avLst/>
                    </a:prstGeom>
                    <a:noFill/>
                  </pic:spPr>
                </pic:pic>
              </a:graphicData>
            </a:graphic>
          </wp:inline>
        </w:drawing>
      </w:r>
    </w:p>
    <w:p w14:paraId="7A8BD8D4" w14:textId="7A9B7630" w:rsidR="008A2692" w:rsidRDefault="005A74CC" w:rsidP="005A74CC">
      <w:pPr>
        <w:pStyle w:val="Caption"/>
        <w:jc w:val="center"/>
      </w:pPr>
      <w:bookmarkStart w:id="5" w:name="_Ref68611039"/>
      <w:r>
        <w:t xml:space="preserve">Figure </w:t>
      </w:r>
      <w:r>
        <w:fldChar w:fldCharType="begin"/>
      </w:r>
      <w:r>
        <w:instrText xml:space="preserve"> SEQ Figure \* ARABIC </w:instrText>
      </w:r>
      <w:r>
        <w:fldChar w:fldCharType="separate"/>
      </w:r>
      <w:r w:rsidR="00E22770">
        <w:rPr>
          <w:noProof/>
        </w:rPr>
        <w:t>3</w:t>
      </w:r>
      <w:r>
        <w:fldChar w:fldCharType="end"/>
      </w:r>
      <w:bookmarkEnd w:id="5"/>
      <w:r>
        <w:t xml:space="preserve"> Two options for defining the transmission occasion of TBoMS</w:t>
      </w:r>
    </w:p>
    <w:p w14:paraId="31F8A876" w14:textId="2388CACE" w:rsidR="0024472E" w:rsidRDefault="0024472E" w:rsidP="005A74CC">
      <w:pPr>
        <w:keepNext/>
        <w:jc w:val="both"/>
      </w:pPr>
      <w:r w:rsidRPr="0024472E">
        <w:t xml:space="preserve">As previously stated, a modular approach to TBoMS is a desired design objective. </w:t>
      </w:r>
      <w:r>
        <w:t>A transmission occasion that spans across multiple noncontiguous resources (as in the case of Option (b)</w:t>
      </w:r>
      <w:r w:rsidR="005A74CC">
        <w:t>)</w:t>
      </w:r>
      <w:r>
        <w:t xml:space="preserve"> deviates from this design objective and poses several challenges</w:t>
      </w:r>
      <w:r w:rsidR="0089760F">
        <w:t xml:space="preserve"> as discussed below:</w:t>
      </w:r>
    </w:p>
    <w:p w14:paraId="05FC72D1" w14:textId="77777777" w:rsidR="005A74CC" w:rsidRDefault="0089760F" w:rsidP="005A74CC">
      <w:pPr>
        <w:keepNext/>
        <w:jc w:val="center"/>
      </w:pPr>
      <w:r>
        <w:rPr>
          <w:noProof/>
        </w:rPr>
        <w:drawing>
          <wp:inline distT="0" distB="0" distL="0" distR="0" wp14:anchorId="3E5EDDA0" wp14:editId="3E663232">
            <wp:extent cx="5823585" cy="133767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70219" cy="1348384"/>
                    </a:xfrm>
                    <a:prstGeom prst="rect">
                      <a:avLst/>
                    </a:prstGeom>
                    <a:noFill/>
                  </pic:spPr>
                </pic:pic>
              </a:graphicData>
            </a:graphic>
          </wp:inline>
        </w:drawing>
      </w:r>
    </w:p>
    <w:p w14:paraId="488D5989" w14:textId="6D323833" w:rsidR="0089760F" w:rsidRDefault="005A74CC" w:rsidP="005A74CC">
      <w:pPr>
        <w:pStyle w:val="Caption"/>
        <w:jc w:val="center"/>
      </w:pPr>
      <w:r>
        <w:t xml:space="preserve">Figure </w:t>
      </w:r>
      <w:r>
        <w:fldChar w:fldCharType="begin"/>
      </w:r>
      <w:r>
        <w:instrText xml:space="preserve"> SEQ Figure \* ARABIC </w:instrText>
      </w:r>
      <w:r>
        <w:fldChar w:fldCharType="separate"/>
      </w:r>
      <w:r w:rsidR="00E22770">
        <w:rPr>
          <w:noProof/>
        </w:rPr>
        <w:t>4</w:t>
      </w:r>
      <w:r>
        <w:fldChar w:fldCharType="end"/>
      </w:r>
      <w:r>
        <w:t xml:space="preserve"> Challenges with TBoMS transmission occasions that span across </w:t>
      </w:r>
      <w:proofErr w:type="spellStart"/>
      <w:r>
        <w:t>nonconsecutive</w:t>
      </w:r>
      <w:proofErr w:type="spellEnd"/>
      <w:r>
        <w:t xml:space="preserve"> slots.</w:t>
      </w:r>
    </w:p>
    <w:p w14:paraId="28890044" w14:textId="1A6CAA14" w:rsidR="0089760F" w:rsidRPr="0089760F" w:rsidRDefault="0089760F" w:rsidP="00A160DC">
      <w:pPr>
        <w:pStyle w:val="ListParagraph"/>
        <w:keepNext/>
        <w:numPr>
          <w:ilvl w:val="0"/>
          <w:numId w:val="32"/>
        </w:numPr>
        <w:tabs>
          <w:tab w:val="num" w:pos="2160"/>
        </w:tabs>
        <w:jc w:val="both"/>
      </w:pPr>
      <w:r w:rsidRPr="0089760F">
        <w:rPr>
          <w:b/>
        </w:rPr>
        <w:t xml:space="preserve">Rate-matching </w:t>
      </w:r>
      <w:r w:rsidR="00E22770">
        <w:rPr>
          <w:b/>
        </w:rPr>
        <w:t xml:space="preserve">may </w:t>
      </w:r>
      <w:r w:rsidRPr="0089760F">
        <w:rPr>
          <w:b/>
        </w:rPr>
        <w:t>now span multiple slots &amp; requires UE to maintain encoding state across noncontiguous slots</w:t>
      </w:r>
      <w:r w:rsidR="00F81C6C">
        <w:rPr>
          <w:b/>
        </w:rPr>
        <w:t xml:space="preserve"> </w:t>
      </w:r>
      <w:r w:rsidR="00F81C6C">
        <w:t>(we assume rate matching across the entire transmission occasion here)</w:t>
      </w:r>
      <w:r w:rsidRPr="0089760F">
        <w:rPr>
          <w:b/>
        </w:rPr>
        <w:t>.</w:t>
      </w:r>
      <w:r>
        <w:t xml:space="preserve"> N</w:t>
      </w:r>
      <w:r w:rsidRPr="0089760F">
        <w:t xml:space="preserve">ote that </w:t>
      </w:r>
      <w:r w:rsidR="005E4C14">
        <w:t xml:space="preserve">an </w:t>
      </w:r>
      <w:r w:rsidRPr="0089760F">
        <w:t>SBPM interleaver spans the entire set of rate-matched bits</w:t>
      </w:r>
      <w:r>
        <w:t xml:space="preserve">, thus an interleaved bit sequence is to be transmitted across noncontiguous slots. </w:t>
      </w:r>
      <w:r w:rsidRPr="0089760F">
        <w:t>This has significant implementation impact on rate matching</w:t>
      </w:r>
      <w:r>
        <w:t>, interleaving,</w:t>
      </w:r>
      <w:r w:rsidRPr="0089760F">
        <w:t xml:space="preserve"> and circular buffer management</w:t>
      </w:r>
      <w:r>
        <w:t>.</w:t>
      </w:r>
      <w:r w:rsidR="00F81C6C">
        <w:t xml:space="preserve"> </w:t>
      </w:r>
    </w:p>
    <w:p w14:paraId="1F264805" w14:textId="358FE5B4" w:rsidR="0089760F" w:rsidRPr="0089760F" w:rsidRDefault="0089760F" w:rsidP="00A160DC">
      <w:pPr>
        <w:pStyle w:val="ListParagraph"/>
        <w:keepNext/>
        <w:numPr>
          <w:ilvl w:val="0"/>
          <w:numId w:val="32"/>
        </w:numPr>
        <w:tabs>
          <w:tab w:val="num" w:pos="2160"/>
        </w:tabs>
        <w:jc w:val="both"/>
      </w:pPr>
      <w:r w:rsidRPr="0089760F">
        <w:rPr>
          <w:b/>
        </w:rPr>
        <w:t>UCI multiplexing decisions impact entire transmission occasion.</w:t>
      </w:r>
      <w:r>
        <w:t xml:space="preserve"> Consider the case where a PUCCH overlap occurs towards the end of a transmission occasion. Even though this overlap occurs in a latter slot, all earlier slots involved in the transmission are impacted. </w:t>
      </w:r>
      <w:r w:rsidRPr="0089760F">
        <w:t xml:space="preserve">Aspects of UCI overlap may need to be </w:t>
      </w:r>
      <w:r>
        <w:t>resolved</w:t>
      </w:r>
      <w:r w:rsidRPr="0089760F">
        <w:t xml:space="preserve"> even prior to start of the transmission occasion</w:t>
      </w:r>
      <w:r>
        <w:t xml:space="preserve"> and</w:t>
      </w:r>
      <w:r w:rsidRPr="0089760F">
        <w:t xml:space="preserve"> it may not be practical to plan this far ahead in time</w:t>
      </w:r>
      <w:r>
        <w:t>.</w:t>
      </w:r>
    </w:p>
    <w:p w14:paraId="5FE70B09" w14:textId="002C97A0" w:rsidR="0089760F" w:rsidRPr="0089760F" w:rsidRDefault="0089760F" w:rsidP="00A160DC">
      <w:pPr>
        <w:pStyle w:val="ListParagraph"/>
        <w:keepNext/>
        <w:numPr>
          <w:ilvl w:val="0"/>
          <w:numId w:val="32"/>
        </w:numPr>
        <w:tabs>
          <w:tab w:val="num" w:pos="2160"/>
        </w:tabs>
        <w:jc w:val="both"/>
      </w:pPr>
      <w:r w:rsidRPr="0089760F">
        <w:rPr>
          <w:b/>
        </w:rPr>
        <w:t xml:space="preserve">Cancellation of a few symbols impacts entire transmission occasion. </w:t>
      </w:r>
      <w:r w:rsidRPr="0089760F">
        <w:t>Resuming transmissions in subsequent slots of a transmission occasion is challenging</w:t>
      </w:r>
      <w:r>
        <w:t>. A design that lets us resume transmission in subsequent slots is desired.</w:t>
      </w:r>
    </w:p>
    <w:p w14:paraId="211299AC" w14:textId="51E6B1E4" w:rsidR="0089760F" w:rsidRPr="0089760F" w:rsidRDefault="0089760F" w:rsidP="00A160DC">
      <w:pPr>
        <w:pStyle w:val="ListParagraph"/>
        <w:keepNext/>
        <w:numPr>
          <w:ilvl w:val="0"/>
          <w:numId w:val="32"/>
        </w:numPr>
        <w:jc w:val="both"/>
      </w:pPr>
      <w:r w:rsidRPr="0089760F">
        <w:rPr>
          <w:b/>
        </w:rPr>
        <w:t>A missed DCI (for e.g., carrying ULCI) impacts transmission across the entire TO</w:t>
      </w:r>
      <w:r>
        <w:t>. This is a particularly important consideration for a cell-edge UE that is under challenging channel conditions.</w:t>
      </w:r>
    </w:p>
    <w:p w14:paraId="0903F5C8" w14:textId="66182196" w:rsidR="0089760F" w:rsidRPr="0089760F" w:rsidRDefault="0089760F" w:rsidP="00A160DC">
      <w:pPr>
        <w:pStyle w:val="ListParagraph"/>
        <w:keepNext/>
        <w:numPr>
          <w:ilvl w:val="0"/>
          <w:numId w:val="32"/>
        </w:numPr>
        <w:tabs>
          <w:tab w:val="num" w:pos="2160"/>
        </w:tabs>
        <w:jc w:val="both"/>
      </w:pPr>
      <w:r w:rsidRPr="0089760F">
        <w:rPr>
          <w:b/>
        </w:rPr>
        <w:t>UE may need to handle other intervening uplink transmissions before a PUSCH transmission is completed</w:t>
      </w:r>
      <w:r>
        <w:t>. T</w:t>
      </w:r>
      <w:r w:rsidRPr="0089760F">
        <w:t>his requires more complex state management and has significant</w:t>
      </w:r>
      <w:r w:rsidR="00890742">
        <w:t xml:space="preserve"> UE</w:t>
      </w:r>
      <w:r w:rsidRPr="0089760F">
        <w:t xml:space="preserve"> implementation impact</w:t>
      </w:r>
      <w:r>
        <w:t>.</w:t>
      </w:r>
    </w:p>
    <w:p w14:paraId="008D0827" w14:textId="05F86DE6" w:rsidR="004A4A1E" w:rsidRDefault="00C74CCF" w:rsidP="005E4C14">
      <w:pPr>
        <w:keepNext/>
        <w:jc w:val="both"/>
      </w:pPr>
      <w:r>
        <w:t xml:space="preserve">These challenges motivate us to focus on transmission occasions that only contain contiguous resources. To </w:t>
      </w:r>
      <w:r w:rsidR="004A4A1E">
        <w:t xml:space="preserve">clarify and ensure TBoMS is supported across noncontiguous slots, we wish to restate that a TBoMS can be a </w:t>
      </w:r>
      <w:r w:rsidR="00890434">
        <w:t xml:space="preserve">series </w:t>
      </w:r>
      <w:r w:rsidR="004A4A1E">
        <w:t>of modular transmissions</w:t>
      </w:r>
      <w:r w:rsidR="00E22770">
        <w:t xml:space="preserve"> spanning multiple transmission occasions</w:t>
      </w:r>
      <w:r w:rsidR="00890434">
        <w:t xml:space="preserve">. </w:t>
      </w:r>
      <w:proofErr w:type="gramStart"/>
      <w:r w:rsidR="00890434">
        <w:t>In particular, a</w:t>
      </w:r>
      <w:proofErr w:type="gramEnd"/>
      <w:r w:rsidR="00890434">
        <w:t xml:space="preserve"> TBoMS</w:t>
      </w:r>
      <w:r>
        <w:t xml:space="preserve"> transmission can</w:t>
      </w:r>
      <w:r w:rsidR="00890434">
        <w:t xml:space="preserve"> constitute an initial PUSCH transmission across a first transmission occasion followed </w:t>
      </w:r>
      <w:r>
        <w:t xml:space="preserve">by </w:t>
      </w:r>
      <w:r w:rsidR="00890434">
        <w:t xml:space="preserve">subsequent </w:t>
      </w:r>
      <w:r>
        <w:t xml:space="preserve">transmissions on </w:t>
      </w:r>
      <w:r w:rsidR="00890434">
        <w:lastRenderedPageBreak/>
        <w:t>transmission occasions</w:t>
      </w:r>
      <w:r>
        <w:t xml:space="preserve"> that occur later in time</w:t>
      </w:r>
      <w:r w:rsidR="00890434">
        <w:t>.</w:t>
      </w:r>
      <w:r w:rsidR="00890742">
        <w:t xml:space="preserve"> </w:t>
      </w:r>
      <w:r w:rsidR="00890434">
        <w:t>This is captured i</w:t>
      </w:r>
      <w:r w:rsidR="005E4C14">
        <w:t xml:space="preserve">n </w:t>
      </w:r>
      <w:r w:rsidR="005E4C14">
        <w:fldChar w:fldCharType="begin"/>
      </w:r>
      <w:r w:rsidR="005E4C14">
        <w:instrText xml:space="preserve"> REF _Ref68614615 \h  \* MERGEFORMAT </w:instrText>
      </w:r>
      <w:r w:rsidR="005E4C14">
        <w:fldChar w:fldCharType="separate"/>
      </w:r>
      <w:r w:rsidR="00E22770">
        <w:t xml:space="preserve">Figure </w:t>
      </w:r>
      <w:r w:rsidR="00E22770">
        <w:rPr>
          <w:noProof/>
        </w:rPr>
        <w:t>5</w:t>
      </w:r>
      <w:r w:rsidR="005E4C14">
        <w:fldChar w:fldCharType="end"/>
      </w:r>
      <w:r w:rsidR="00890742">
        <w:t xml:space="preserve"> </w:t>
      </w:r>
      <w:r w:rsidR="005F43FC">
        <w:t>where TB transmission across 4 transmission occasions is illustrated</w:t>
      </w:r>
      <w:r>
        <w:t>.</w:t>
      </w:r>
    </w:p>
    <w:p w14:paraId="29BE83B3" w14:textId="39D91D97" w:rsidR="00C74CCF" w:rsidRDefault="00C74CCF" w:rsidP="00C74CCF">
      <w:pPr>
        <w:keepNext/>
        <w:jc w:val="center"/>
      </w:pPr>
      <w:r>
        <w:rPr>
          <w:noProof/>
        </w:rPr>
        <w:drawing>
          <wp:inline distT="0" distB="0" distL="0" distR="0" wp14:anchorId="3B84261F" wp14:editId="13052E67">
            <wp:extent cx="5645689" cy="139645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4534" cy="1411010"/>
                    </a:xfrm>
                    <a:prstGeom prst="rect">
                      <a:avLst/>
                    </a:prstGeom>
                    <a:noFill/>
                  </pic:spPr>
                </pic:pic>
              </a:graphicData>
            </a:graphic>
          </wp:inline>
        </w:drawing>
      </w:r>
    </w:p>
    <w:p w14:paraId="466B8B90" w14:textId="36D32B86" w:rsidR="00017485" w:rsidRDefault="00C74CCF" w:rsidP="00C74CCF">
      <w:pPr>
        <w:pStyle w:val="Caption"/>
        <w:jc w:val="center"/>
      </w:pPr>
      <w:bookmarkStart w:id="6" w:name="_Ref68614615"/>
      <w:r>
        <w:t xml:space="preserve">Figure </w:t>
      </w:r>
      <w:r>
        <w:fldChar w:fldCharType="begin"/>
      </w:r>
      <w:r>
        <w:instrText xml:space="preserve"> SEQ Figure \* ARABIC </w:instrText>
      </w:r>
      <w:r>
        <w:fldChar w:fldCharType="separate"/>
      </w:r>
      <w:r w:rsidR="00E22770">
        <w:rPr>
          <w:noProof/>
        </w:rPr>
        <w:t>5</w:t>
      </w:r>
      <w:r>
        <w:fldChar w:fldCharType="end"/>
      </w:r>
      <w:bookmarkEnd w:id="6"/>
      <w:r>
        <w:t xml:space="preserve"> A TBoMS transmission --- constitutes 4 separate segments each encapsulated by a transmission occasion. This can be viewed as 4 repetitions with RV cycling.</w:t>
      </w:r>
    </w:p>
    <w:p w14:paraId="4B21740D" w14:textId="00438E14" w:rsidR="00C74CCF" w:rsidRDefault="005E4C14" w:rsidP="005E4C14">
      <w:pPr>
        <w:keepNext/>
        <w:jc w:val="both"/>
      </w:pPr>
      <w:r>
        <w:t>Th</w:t>
      </w:r>
      <w:r w:rsidR="00C74CCF">
        <w:t xml:space="preserve">e </w:t>
      </w:r>
      <w:r>
        <w:t xml:space="preserve">existing framework for PUSCH </w:t>
      </w:r>
      <w:r w:rsidR="00C74CCF">
        <w:t>repetition and RV cyclin</w:t>
      </w:r>
      <w:r>
        <w:t xml:space="preserve">g provides a natural path to setting up such transmissions. </w:t>
      </w:r>
    </w:p>
    <w:p w14:paraId="061AA09E" w14:textId="76D1DD7C" w:rsidR="00C74CCF" w:rsidRDefault="005E4C14" w:rsidP="005E4C14">
      <w:pPr>
        <w:keepNext/>
        <w:jc w:val="both"/>
        <w:rPr>
          <w:b/>
        </w:rPr>
      </w:pPr>
      <w:r>
        <w:t xml:space="preserve">Based on the discussions and observations made in this section, </w:t>
      </w:r>
      <w:r w:rsidR="00C74CCF">
        <w:t>we propose the following:</w:t>
      </w:r>
    </w:p>
    <w:p w14:paraId="4690830C" w14:textId="0D012706" w:rsidR="00C74CCF" w:rsidRPr="005E4C14" w:rsidRDefault="00C74CCF" w:rsidP="005E4C14">
      <w:pPr>
        <w:keepNext/>
        <w:jc w:val="both"/>
      </w:pPr>
      <w:r w:rsidRPr="005E4C14">
        <w:rPr>
          <w:b/>
        </w:rPr>
        <w:t>Proposal</w:t>
      </w:r>
      <w:r w:rsidR="00574132">
        <w:rPr>
          <w:b/>
        </w:rPr>
        <w:t xml:space="preserve"> </w:t>
      </w:r>
      <w:r w:rsidR="00F81C6C">
        <w:rPr>
          <w:b/>
        </w:rPr>
        <w:t>3</w:t>
      </w:r>
      <w:r w:rsidRPr="005E4C14">
        <w:rPr>
          <w:b/>
        </w:rPr>
        <w:t>:</w:t>
      </w:r>
      <w:r w:rsidRPr="005E4C14">
        <w:t xml:space="preserve"> A transmission occasion of a TBoMS</w:t>
      </w:r>
      <w:r w:rsidR="00591E48">
        <w:t xml:space="preserve"> (TOT)</w:t>
      </w:r>
      <w:r w:rsidRPr="005E4C14">
        <w:t xml:space="preserve"> constitutes a set of contiguous resources (symbols) spanning one or more slots. A TBoMS transmission</w:t>
      </w:r>
      <w:r w:rsidR="005E4C14" w:rsidRPr="005E4C14">
        <w:t xml:space="preserve"> can constitute </w:t>
      </w:r>
      <w:r w:rsidR="005E4C14">
        <w:t xml:space="preserve">transmissions across </w:t>
      </w:r>
      <w:r w:rsidR="005E4C14" w:rsidRPr="005E4C14">
        <w:t>one o</w:t>
      </w:r>
      <w:r w:rsidR="005E4C14">
        <w:t>r</w:t>
      </w:r>
      <w:r w:rsidR="005E4C14" w:rsidRPr="005E4C14">
        <w:t xml:space="preserve"> more transmission occasions. PUSCH </w:t>
      </w:r>
      <w:r w:rsidR="00465F61">
        <w:t xml:space="preserve">Type A </w:t>
      </w:r>
      <w:r w:rsidR="005E4C14" w:rsidRPr="005E4C14">
        <w:t>repetition</w:t>
      </w:r>
      <w:r w:rsidR="00465F61">
        <w:t>s</w:t>
      </w:r>
      <w:r w:rsidR="00890742">
        <w:t xml:space="preserve"> </w:t>
      </w:r>
      <w:r w:rsidR="005E4C14" w:rsidRPr="005E4C14">
        <w:t>and RV cycling framework</w:t>
      </w:r>
      <w:r w:rsidR="00890742">
        <w:t xml:space="preserve"> in </w:t>
      </w:r>
      <w:r w:rsidR="00890742" w:rsidRPr="005E4C14">
        <w:t>R15/R16</w:t>
      </w:r>
      <w:r w:rsidR="005E4C14" w:rsidRPr="005E4C14">
        <w:t xml:space="preserve"> is repurposed for TBoMS transmission across multiple transmission occasions. </w:t>
      </w:r>
    </w:p>
    <w:p w14:paraId="31003F4C" w14:textId="50DC4A50" w:rsidR="00C74CCF" w:rsidRDefault="00C74CCF" w:rsidP="001C2832">
      <w:pPr>
        <w:pStyle w:val="ListParagraph"/>
        <w:keepNext/>
        <w:numPr>
          <w:ilvl w:val="0"/>
          <w:numId w:val="34"/>
        </w:numPr>
        <w:jc w:val="both"/>
      </w:pPr>
      <w:r w:rsidRPr="005E4C14">
        <w:t>FFS: limits on maximum duration of a transmission occasion of a TBoMS</w:t>
      </w:r>
      <w:r w:rsidR="005E4C14">
        <w:t>.</w:t>
      </w:r>
    </w:p>
    <w:p w14:paraId="362679F3" w14:textId="31A491DA" w:rsidR="00465F61" w:rsidRDefault="00465F61" w:rsidP="00465F61">
      <w:pPr>
        <w:keepNext/>
        <w:jc w:val="both"/>
      </w:pPr>
      <w:r>
        <w:t>With the above proposal in mind, among the 4 options identified to define a single TBoMS in the previous meeting, we prefer to choose between Option 2 or Option 4. We make the following proposal in this regard:</w:t>
      </w:r>
    </w:p>
    <w:p w14:paraId="536B3F7C" w14:textId="1D8D668D" w:rsidR="00465F61" w:rsidRDefault="00465F61" w:rsidP="00465F61">
      <w:pPr>
        <w:keepNext/>
        <w:jc w:val="both"/>
      </w:pPr>
      <w:r w:rsidRPr="00465F61">
        <w:rPr>
          <w:b/>
          <w:bCs/>
        </w:rPr>
        <w:t xml:space="preserve">Proposal </w:t>
      </w:r>
      <w:r w:rsidR="00F81C6C">
        <w:rPr>
          <w:b/>
          <w:bCs/>
        </w:rPr>
        <w:t>4</w:t>
      </w:r>
      <w:r w:rsidRPr="00465F61">
        <w:rPr>
          <w:b/>
          <w:bCs/>
        </w:rPr>
        <w:t xml:space="preserve">: </w:t>
      </w:r>
      <w:r>
        <w:t>If repetition of TBoMS is allowed, then Option 2 is preferred to define a single TBoMS. Else, Option 4 is chosen to define a single TBoMS.</w:t>
      </w:r>
    </w:p>
    <w:p w14:paraId="23B9C3C9" w14:textId="464AC4AF" w:rsidR="00890434" w:rsidRDefault="00890434" w:rsidP="00890434">
      <w:pPr>
        <w:pStyle w:val="Heading2"/>
      </w:pPr>
      <w:r>
        <w:t>Interaction with RV Cycling</w:t>
      </w:r>
      <w:r w:rsidR="008471A0">
        <w:t xml:space="preserve"> and Rate Matching</w:t>
      </w:r>
    </w:p>
    <w:p w14:paraId="41CB104F" w14:textId="664FE037" w:rsidR="00890434" w:rsidRDefault="00890434" w:rsidP="005E4C14">
      <w:pPr>
        <w:jc w:val="both"/>
        <w:rPr>
          <w:lang w:val="en-GB"/>
        </w:rPr>
      </w:pPr>
      <w:r>
        <w:rPr>
          <w:lang w:val="en-GB"/>
        </w:rPr>
        <w:t>The RV cycling framework forms a core aspect of modular TBoMS transmissions. RV indices provide a clear starting point for coded bits to be transmitted in any given segment of TBoMS. Note that the choices on RV cycling impacts rate matching and interleaving.</w:t>
      </w:r>
    </w:p>
    <w:p w14:paraId="215999FD" w14:textId="1E22AC33" w:rsidR="00890434" w:rsidRDefault="00890434" w:rsidP="005E4C14">
      <w:pPr>
        <w:jc w:val="both"/>
        <w:rPr>
          <w:lang w:val="en-GB"/>
        </w:rPr>
      </w:pPr>
      <w:r>
        <w:rPr>
          <w:lang w:val="en-GB"/>
        </w:rPr>
        <w:t>Using transmission occasions based on Option (a), RV index for transmission can be chosen in one of two ways. One could either configure each transmission occasion with an RV index that</w:t>
      </w:r>
      <w:r w:rsidR="008471A0">
        <w:rPr>
          <w:lang w:val="en-GB"/>
        </w:rPr>
        <w:t xml:space="preserve"> i</w:t>
      </w:r>
      <w:r>
        <w:rPr>
          <w:lang w:val="en-GB"/>
        </w:rPr>
        <w:t>s used across the entire transmission occasion, or alternately</w:t>
      </w:r>
      <w:r w:rsidR="009B672E">
        <w:rPr>
          <w:lang w:val="en-GB"/>
        </w:rPr>
        <w:t>, for each transmission occasion, depending on the duration of the occasion, RV index could be refreshed every time a slot boundary is crossed. These are presented as Options (a1) and (a2) in</w:t>
      </w:r>
      <w:r w:rsidR="005E4C14">
        <w:rPr>
          <w:lang w:val="en-GB"/>
        </w:rPr>
        <w:t xml:space="preserve"> </w:t>
      </w:r>
      <w:r w:rsidR="005E4C14">
        <w:rPr>
          <w:lang w:val="en-GB"/>
        </w:rPr>
        <w:fldChar w:fldCharType="begin"/>
      </w:r>
      <w:r w:rsidR="005E4C14">
        <w:rPr>
          <w:lang w:val="en-GB"/>
        </w:rPr>
        <w:instrText xml:space="preserve"> REF _Ref68614727 \h </w:instrText>
      </w:r>
      <w:r w:rsidR="005E4C14">
        <w:rPr>
          <w:lang w:val="en-GB"/>
        </w:rPr>
      </w:r>
      <w:r w:rsidR="005E4C14">
        <w:rPr>
          <w:lang w:val="en-GB"/>
        </w:rPr>
        <w:fldChar w:fldCharType="separate"/>
      </w:r>
      <w:r w:rsidR="00E22770">
        <w:t xml:space="preserve">Figure </w:t>
      </w:r>
      <w:r w:rsidR="00E22770">
        <w:rPr>
          <w:noProof/>
        </w:rPr>
        <w:t>6</w:t>
      </w:r>
      <w:r w:rsidR="005E4C14">
        <w:rPr>
          <w:lang w:val="en-GB"/>
        </w:rPr>
        <w:fldChar w:fldCharType="end"/>
      </w:r>
      <w:r w:rsidR="009B672E">
        <w:rPr>
          <w:lang w:val="en-GB"/>
        </w:rPr>
        <w:t>.</w:t>
      </w:r>
    </w:p>
    <w:p w14:paraId="3D33BF31" w14:textId="77777777" w:rsidR="005E4C14" w:rsidRDefault="00890434" w:rsidP="005E4C14">
      <w:pPr>
        <w:keepNext/>
        <w:jc w:val="center"/>
      </w:pPr>
      <w:r>
        <w:rPr>
          <w:noProof/>
          <w:lang w:val="en-GB"/>
        </w:rPr>
        <w:drawing>
          <wp:inline distT="0" distB="0" distL="0" distR="0" wp14:anchorId="3B543F68" wp14:editId="622C3D1A">
            <wp:extent cx="5848985" cy="161730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80677" cy="1626066"/>
                    </a:xfrm>
                    <a:prstGeom prst="rect">
                      <a:avLst/>
                    </a:prstGeom>
                    <a:noFill/>
                  </pic:spPr>
                </pic:pic>
              </a:graphicData>
            </a:graphic>
          </wp:inline>
        </w:drawing>
      </w:r>
    </w:p>
    <w:p w14:paraId="7FA448E5" w14:textId="4108B546" w:rsidR="00890434" w:rsidRPr="00890434" w:rsidRDefault="005E4C14" w:rsidP="005E4C14">
      <w:pPr>
        <w:pStyle w:val="Caption"/>
        <w:jc w:val="center"/>
      </w:pPr>
      <w:bookmarkStart w:id="7" w:name="_Ref68614727"/>
      <w:r>
        <w:t xml:space="preserve">Figure </w:t>
      </w:r>
      <w:r>
        <w:fldChar w:fldCharType="begin"/>
      </w:r>
      <w:r>
        <w:instrText xml:space="preserve"> SEQ Figure \* ARABIC </w:instrText>
      </w:r>
      <w:r>
        <w:fldChar w:fldCharType="separate"/>
      </w:r>
      <w:r w:rsidR="00E22770">
        <w:rPr>
          <w:noProof/>
        </w:rPr>
        <w:t>6</w:t>
      </w:r>
      <w:r>
        <w:fldChar w:fldCharType="end"/>
      </w:r>
      <w:bookmarkEnd w:id="7"/>
      <w:r>
        <w:t xml:space="preserve"> RV cycling within and across transmission occasions of a TBoMS</w:t>
      </w:r>
    </w:p>
    <w:p w14:paraId="6301CE26" w14:textId="59A7CDBB" w:rsidR="005E4C14" w:rsidRDefault="00C24AAA" w:rsidP="00016124">
      <w:pPr>
        <w:jc w:val="both"/>
        <w:rPr>
          <w:bCs/>
        </w:rPr>
      </w:pPr>
      <w:r w:rsidRPr="00C24AAA">
        <w:rPr>
          <w:bCs/>
        </w:rPr>
        <w:t>Note that Option (a1) suffers from the same set of drawbacks that were identified for transmission occasions that span noncontiguous resources</w:t>
      </w:r>
      <w:r>
        <w:rPr>
          <w:bCs/>
        </w:rPr>
        <w:t xml:space="preserve">. For example, it can be seen that UCI multiplexing in the second slot of a transmission occasion in </w:t>
      </w:r>
      <w:r>
        <w:rPr>
          <w:bCs/>
        </w:rPr>
        <w:fldChar w:fldCharType="begin"/>
      </w:r>
      <w:r>
        <w:rPr>
          <w:bCs/>
        </w:rPr>
        <w:instrText xml:space="preserve"> REF _Ref68614727 \h </w:instrText>
      </w:r>
      <w:r>
        <w:rPr>
          <w:bCs/>
        </w:rPr>
      </w:r>
      <w:r>
        <w:rPr>
          <w:bCs/>
        </w:rPr>
        <w:fldChar w:fldCharType="separate"/>
      </w:r>
      <w:r w:rsidR="00E22770">
        <w:t xml:space="preserve">Figure </w:t>
      </w:r>
      <w:r w:rsidR="00E22770">
        <w:rPr>
          <w:noProof/>
        </w:rPr>
        <w:t>6</w:t>
      </w:r>
      <w:r>
        <w:rPr>
          <w:bCs/>
        </w:rPr>
        <w:fldChar w:fldCharType="end"/>
      </w:r>
      <w:r>
        <w:rPr>
          <w:bCs/>
        </w:rPr>
        <w:t xml:space="preserve"> impacts transmission in the first slot and has to therefore be accommodated even prior to the start of the transmission occasion. </w:t>
      </w:r>
    </w:p>
    <w:p w14:paraId="628C1DB0" w14:textId="5027ADE3" w:rsidR="00C24AAA" w:rsidRPr="00C24AAA" w:rsidRDefault="00C24AAA" w:rsidP="00016124">
      <w:pPr>
        <w:jc w:val="both"/>
        <w:rPr>
          <w:bCs/>
        </w:rPr>
      </w:pPr>
      <w:r>
        <w:rPr>
          <w:bCs/>
        </w:rPr>
        <w:t>We therefore make the following proposal to further discuss the merits of the two options:</w:t>
      </w:r>
    </w:p>
    <w:p w14:paraId="3D0FA546" w14:textId="6E419B18" w:rsidR="004A4A1E" w:rsidRDefault="009B672E" w:rsidP="00016124">
      <w:pPr>
        <w:jc w:val="both"/>
      </w:pPr>
      <w:r w:rsidRPr="00BC01FE">
        <w:rPr>
          <w:b/>
        </w:rPr>
        <w:lastRenderedPageBreak/>
        <w:t>Proposal</w:t>
      </w:r>
      <w:r w:rsidR="00574132">
        <w:rPr>
          <w:b/>
        </w:rPr>
        <w:t xml:space="preserve"> 5</w:t>
      </w:r>
      <w:r w:rsidRPr="00BC01FE">
        <w:rPr>
          <w:b/>
        </w:rPr>
        <w:t>:</w:t>
      </w:r>
      <w:r>
        <w:t xml:space="preserve"> Depending on the duration of the transmission occasion</w:t>
      </w:r>
      <w:r w:rsidR="005E4C14">
        <w:t xml:space="preserve"> spanning contiguous resources</w:t>
      </w:r>
      <w:r>
        <w:t>, RV index for a</w:t>
      </w:r>
      <w:r w:rsidR="00F2381C">
        <w:t xml:space="preserve"> transmission within a</w:t>
      </w:r>
      <w:r>
        <w:t xml:space="preserve"> transmission occasion is chosen based on one of the following two options:</w:t>
      </w:r>
    </w:p>
    <w:p w14:paraId="14F1738F" w14:textId="6F315041" w:rsidR="009B672E" w:rsidRDefault="009B672E" w:rsidP="00A160DC">
      <w:pPr>
        <w:pStyle w:val="ListParagraph"/>
        <w:numPr>
          <w:ilvl w:val="0"/>
          <w:numId w:val="33"/>
        </w:numPr>
        <w:jc w:val="both"/>
      </w:pPr>
      <w:r>
        <w:t>A single RV index is used across the entire transmission occasion.</w:t>
      </w:r>
    </w:p>
    <w:p w14:paraId="3015BC8B" w14:textId="3BD4858E" w:rsidR="009B672E" w:rsidRDefault="009B672E" w:rsidP="00A160DC">
      <w:pPr>
        <w:pStyle w:val="ListParagraph"/>
        <w:numPr>
          <w:ilvl w:val="0"/>
          <w:numId w:val="33"/>
        </w:numPr>
        <w:jc w:val="both"/>
      </w:pPr>
      <w:r>
        <w:t>An updated RV index is used each time a slot boundary is crossed within a transmission occasion.</w:t>
      </w:r>
    </w:p>
    <w:p w14:paraId="5949910E" w14:textId="7BB6E546" w:rsidR="008F1435" w:rsidRDefault="008F1435" w:rsidP="008F1435">
      <w:pPr>
        <w:jc w:val="both"/>
      </w:pPr>
      <w:r>
        <w:t>Irrespective of how often RV cycling is refreshed</w:t>
      </w:r>
      <w:r w:rsidR="00FD2096">
        <w:t xml:space="preserve"> and how many slots a TOT spans</w:t>
      </w:r>
      <w:r>
        <w:t xml:space="preserve">, </w:t>
      </w:r>
      <w:r w:rsidR="00FD2096">
        <w:t xml:space="preserve">it is desirable to perform rate matching for TBoMS on a per-slot basis. For example, using the TOT presented in </w:t>
      </w:r>
      <w:r w:rsidR="00FD2096">
        <w:fldChar w:fldCharType="begin"/>
      </w:r>
      <w:r w:rsidR="00FD2096">
        <w:instrText xml:space="preserve"> REF _Ref68614727 \h </w:instrText>
      </w:r>
      <w:r w:rsidR="00FD2096">
        <w:fldChar w:fldCharType="separate"/>
      </w:r>
      <w:r w:rsidR="00E22770">
        <w:t xml:space="preserve">Figure </w:t>
      </w:r>
      <w:r w:rsidR="00E22770">
        <w:rPr>
          <w:noProof/>
        </w:rPr>
        <w:t>6</w:t>
      </w:r>
      <w:r w:rsidR="00FD2096">
        <w:fldChar w:fldCharType="end"/>
      </w:r>
      <w:r w:rsidR="00FD2096">
        <w:t xml:space="preserve"> as a reference and focusing on Option (a1), the mapping of the coded bits on the two slots that constitute each TOT is broken down into two steps. In the first step, the UE only performs rate matching for the first slot of the TOT, i.e., using RV0 as a starting point, UE reads the number of coded bits required for the first slot from the circular buffer. UE takes note of the number of coded bits read from the circular buffer and uses this as a starting point for rate matching in subsequent slots. In the second step, the UE performs rate matching for the second slot of the TOT </w:t>
      </w:r>
      <w:r w:rsidR="004305CE">
        <w:t xml:space="preserve">by reading bits from the circular buffer using the last used coded bit in the first slot as a point of reference. This process is illustrated in </w:t>
      </w:r>
      <w:r w:rsidR="004305CE">
        <w:fldChar w:fldCharType="begin"/>
      </w:r>
      <w:r w:rsidR="004305CE">
        <w:instrText xml:space="preserve"> REF _Ref71585111 \h </w:instrText>
      </w:r>
      <w:r w:rsidR="004305CE">
        <w:fldChar w:fldCharType="separate"/>
      </w:r>
      <w:r w:rsidR="00E22770">
        <w:t xml:space="preserve">Figure </w:t>
      </w:r>
      <w:r w:rsidR="00E22770">
        <w:rPr>
          <w:noProof/>
        </w:rPr>
        <w:t>7</w:t>
      </w:r>
      <w:r w:rsidR="004305CE">
        <w:fldChar w:fldCharType="end"/>
      </w:r>
      <w:r w:rsidR="004305CE">
        <w:t>.</w:t>
      </w:r>
    </w:p>
    <w:p w14:paraId="01A4EDC1" w14:textId="77777777" w:rsidR="004305CE" w:rsidRDefault="00FD2096" w:rsidP="004305CE">
      <w:pPr>
        <w:keepNext/>
        <w:jc w:val="center"/>
      </w:pPr>
      <w:r>
        <w:rPr>
          <w:noProof/>
        </w:rPr>
        <w:drawing>
          <wp:inline distT="0" distB="0" distL="0" distR="0" wp14:anchorId="74EBCFB3" wp14:editId="1C9F9BEA">
            <wp:extent cx="4531554" cy="2214728"/>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0143" cy="2223813"/>
                    </a:xfrm>
                    <a:prstGeom prst="rect">
                      <a:avLst/>
                    </a:prstGeom>
                    <a:noFill/>
                  </pic:spPr>
                </pic:pic>
              </a:graphicData>
            </a:graphic>
          </wp:inline>
        </w:drawing>
      </w:r>
    </w:p>
    <w:p w14:paraId="42D0A4A8" w14:textId="4F2CC26D" w:rsidR="008F1435" w:rsidRDefault="004305CE" w:rsidP="004305CE">
      <w:pPr>
        <w:pStyle w:val="Caption"/>
        <w:jc w:val="center"/>
      </w:pPr>
      <w:bookmarkStart w:id="8" w:name="_Ref71585111"/>
      <w:r>
        <w:t xml:space="preserve">Figure </w:t>
      </w:r>
      <w:r>
        <w:fldChar w:fldCharType="begin"/>
      </w:r>
      <w:r>
        <w:instrText xml:space="preserve"> SEQ Figure \* ARABIC </w:instrText>
      </w:r>
      <w:r>
        <w:fldChar w:fldCharType="separate"/>
      </w:r>
      <w:r w:rsidR="00E22770">
        <w:rPr>
          <w:noProof/>
        </w:rPr>
        <w:t>7</w:t>
      </w:r>
      <w:r>
        <w:fldChar w:fldCharType="end"/>
      </w:r>
      <w:bookmarkEnd w:id="8"/>
      <w:r>
        <w:t xml:space="preserve"> Per-Slot Rate Matching in TBoMS</w:t>
      </w:r>
    </w:p>
    <w:p w14:paraId="6B6229D1" w14:textId="05D1D55F" w:rsidR="008F1435" w:rsidRDefault="004305CE" w:rsidP="004305CE">
      <w:r>
        <w:t>Per-slot rate matching has the advantage of being able to accommodate existing features such as UCI multiplexing and ULCI with minimal specification impact. With these advantages in mind, we make the following proposal:</w:t>
      </w:r>
    </w:p>
    <w:p w14:paraId="54450626" w14:textId="7316BF72" w:rsidR="00FD2096" w:rsidRDefault="00FD2096" w:rsidP="00FD2096">
      <w:r w:rsidRPr="00FD2096">
        <w:rPr>
          <w:b/>
          <w:bCs/>
        </w:rPr>
        <w:t>Proposal</w:t>
      </w:r>
      <w:r w:rsidR="00F81C6C">
        <w:rPr>
          <w:b/>
          <w:bCs/>
        </w:rPr>
        <w:t xml:space="preserve"> 6</w:t>
      </w:r>
      <w:r w:rsidRPr="00FD2096">
        <w:rPr>
          <w:b/>
          <w:bCs/>
        </w:rPr>
        <w:t>:</w:t>
      </w:r>
      <w:r>
        <w:t xml:space="preserve"> Adopt per-slot rate matching for TBoMS.</w:t>
      </w:r>
    </w:p>
    <w:p w14:paraId="751434FE" w14:textId="0C00B7DA" w:rsidR="00017485" w:rsidRDefault="00017485" w:rsidP="00017485">
      <w:pPr>
        <w:pStyle w:val="Heading2"/>
      </w:pPr>
      <w:r>
        <w:t>TBS Determination</w:t>
      </w:r>
    </w:p>
    <w:p w14:paraId="2BDE8C68" w14:textId="79F570B2" w:rsidR="00C24AAA" w:rsidRDefault="00C24AAA" w:rsidP="00C24AAA">
      <w:pPr>
        <w:rPr>
          <w:lang w:val="en-GB"/>
        </w:rPr>
      </w:pPr>
      <w:r>
        <w:rPr>
          <w:lang w:val="en-GB"/>
        </w:rPr>
        <w:t>TBS determination is another important aspect of TBoMS as it forms the primary basis for avoiding excessive segmentation of small payloads in uplink. In this section we present considerations on TBS determination with the preceding discussion on TDRA aspects providing background and context.</w:t>
      </w:r>
    </w:p>
    <w:p w14:paraId="29F51CF9" w14:textId="7AE12F3F" w:rsidR="004B54D6" w:rsidRDefault="009B672E" w:rsidP="00C24AAA">
      <w:r>
        <w:t>In the current spec, the following</w:t>
      </w:r>
      <w:r w:rsidR="004B54D6">
        <w:t xml:space="preserve"> the steps</w:t>
      </w:r>
      <w:r>
        <w:t xml:space="preserve"> are</w:t>
      </w:r>
      <w:r w:rsidR="004B54D6">
        <w:t xml:space="preserve"> involved in </w:t>
      </w:r>
      <w:r>
        <w:t>determining the</w:t>
      </w:r>
      <w:r w:rsidR="004B54D6">
        <w:t xml:space="preserve"> TB size</w:t>
      </w:r>
      <w:r w:rsidR="00CF651F">
        <w:t>:</w:t>
      </w:r>
    </w:p>
    <w:p w14:paraId="358439CE" w14:textId="58DB87A6" w:rsidR="00D7086E" w:rsidRPr="00016124" w:rsidRDefault="00D7086E" w:rsidP="00A160DC">
      <w:pPr>
        <w:numPr>
          <w:ilvl w:val="0"/>
          <w:numId w:val="26"/>
        </w:numPr>
        <w:jc w:val="both"/>
      </w:pPr>
      <w:r w:rsidRPr="00016124">
        <w:t>UE first determines number of REs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hint="eastAsia"/>
              </w:rPr>
              <m:t>'</m:t>
            </m:r>
          </m:sup>
        </m:sSubSup>
      </m:oMath>
      <w:r w:rsidRPr="00016124">
        <w:t>) allocated for PUSCH within a PRB:</w:t>
      </w:r>
      <w:r w:rsidR="002433A0">
        <w:t xml:space="preserve"> </w:t>
      </w:r>
      <w:r w:rsidR="002433A0" w:rsidRPr="002433A0">
        <w:object w:dxaOrig="3317" w:dyaOrig="471" w14:anchorId="76B59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6pt;height:22.35pt" o:ole="">
            <v:imagedata r:id="rId14" o:title=""/>
          </v:shape>
          <o:OLEObject Type="Embed" ProgID="Unknown" ShapeID="_x0000_i1025" DrawAspect="Content" ObjectID="_1682250575" r:id="rId15"/>
        </w:object>
      </w:r>
    </w:p>
    <w:p w14:paraId="2CAA58EC" w14:textId="77777777" w:rsidR="00D7086E" w:rsidRPr="00016124" w:rsidRDefault="00D7086E" w:rsidP="00A160DC">
      <w:pPr>
        <w:numPr>
          <w:ilvl w:val="1"/>
          <w:numId w:val="27"/>
        </w:numPr>
        <w:jc w:val="both"/>
      </w:pPr>
      <w:r w:rsidRPr="00016124">
        <w:t>This is a function of the number of symbols and RBs allocated to PUSCH, the number of resources assigned for DMRS and an additional overhead factor.</w:t>
      </w:r>
    </w:p>
    <w:p w14:paraId="1E221B58" w14:textId="29C80FE6" w:rsidR="00D7086E" w:rsidRPr="00016124" w:rsidRDefault="00D7086E" w:rsidP="00A160DC">
      <w:pPr>
        <w:numPr>
          <w:ilvl w:val="0"/>
          <w:numId w:val="26"/>
        </w:numPr>
        <w:jc w:val="both"/>
      </w:pPr>
      <w:r w:rsidRPr="00016124">
        <w:t>A UE then determines total number of REs allocated to PUSCH (</w:t>
      </w:r>
      <m:oMath>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oMath>
      <w:r w:rsidRPr="00016124">
        <w:t xml:space="preserve">: </w:t>
      </w:r>
      <m:oMath>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 = </m:t>
        </m:r>
        <m:sSub>
          <m:sSubPr>
            <m:ctrlPr>
              <w:rPr>
                <w:rFonts w:ascii="Cambria Math" w:hAnsi="Cambria Math"/>
                <w:i/>
                <w:iCs/>
              </w:rPr>
            </m:ctrlPr>
          </m:sSubPr>
          <m:e>
            <m:r>
              <w:rPr>
                <w:rFonts w:ascii="Cambria Math" w:hAnsi="Cambria Math"/>
              </w:rPr>
              <m:t>n</m:t>
            </m:r>
          </m:e>
          <m:sub>
            <m:r>
              <w:rPr>
                <w:rFonts w:ascii="Cambria Math" w:hAnsi="Cambria Math"/>
              </w:rPr>
              <m:t>prb</m:t>
            </m:r>
          </m:sub>
        </m:sSub>
        <m:r>
          <w:rPr>
            <w:rFonts w:ascii="Cambria Math" w:hAnsi="Cambria Math"/>
          </w:rPr>
          <m:t>*</m:t>
        </m:r>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r>
                  <w:rPr>
                    <w:rFonts w:ascii="Cambria Math" w:hAnsi="Cambria Math"/>
                  </w:rPr>
                  <m:t>156,</m:t>
                </m:r>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hint="eastAsia"/>
                      </w:rPr>
                      <m:t>'</m:t>
                    </m:r>
                  </m:sup>
                </m:sSubSup>
              </m:e>
            </m:d>
          </m:e>
        </m:func>
        <m:r>
          <w:rPr>
            <w:rFonts w:ascii="Cambria Math" w:hAnsi="Cambria Math"/>
          </w:rPr>
          <m:t>, </m:t>
        </m:r>
      </m:oMath>
      <w:r w:rsidRPr="00016124">
        <w:t xml:space="preserve">where </w:t>
      </w:r>
      <m:oMath>
        <m:sSub>
          <m:sSubPr>
            <m:ctrlPr>
              <w:rPr>
                <w:rFonts w:ascii="Cambria Math" w:hAnsi="Cambria Math"/>
                <w:i/>
                <w:iCs/>
              </w:rPr>
            </m:ctrlPr>
          </m:sSubPr>
          <m:e>
            <m:r>
              <w:rPr>
                <w:rFonts w:ascii="Cambria Math" w:hAnsi="Cambria Math"/>
              </w:rPr>
              <m:t>n</m:t>
            </m:r>
          </m:e>
          <m:sub>
            <m:r>
              <w:rPr>
                <w:rFonts w:ascii="Cambria Math" w:hAnsi="Cambria Math"/>
              </w:rPr>
              <m:t>prb</m:t>
            </m:r>
          </m:sub>
        </m:sSub>
      </m:oMath>
      <w:r w:rsidRPr="00016124">
        <w:t xml:space="preserve"> denotes the total number of PRBs assigned to the UE </w:t>
      </w:r>
    </w:p>
    <w:p w14:paraId="1D7FCEFF" w14:textId="797535F3" w:rsidR="00D7086E" w:rsidRPr="00016124" w:rsidRDefault="00D7086E" w:rsidP="00A160DC">
      <w:pPr>
        <w:numPr>
          <w:ilvl w:val="0"/>
          <w:numId w:val="26"/>
        </w:numPr>
        <w:jc w:val="both"/>
      </w:pPr>
      <w:r w:rsidRPr="00016124">
        <w:t xml:space="preserve">UE then determines intermediate number of information bits </w:t>
      </w:r>
      <m:oMath>
        <m:sSubSup>
          <m:sSubSupPr>
            <m:ctrlPr>
              <w:rPr>
                <w:rFonts w:ascii="Cambria Math" w:hAnsi="Cambria Math"/>
                <w:i/>
                <w:iCs/>
              </w:rPr>
            </m:ctrlPr>
          </m:sSubSupPr>
          <m:e>
            <m:r>
              <w:rPr>
                <w:rFonts w:ascii="Cambria Math" w:hAnsi="Cambria Math"/>
              </w:rPr>
              <m:t>N</m:t>
            </m:r>
          </m:e>
          <m:sub>
            <m:r>
              <w:rPr>
                <w:rFonts w:ascii="Cambria Math" w:hAnsi="Cambria Math"/>
              </w:rPr>
              <m:t>info</m:t>
            </m:r>
          </m:sub>
          <m:sup/>
        </m:sSubSup>
      </m:oMath>
      <w:r w:rsidRPr="00016124">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info</m:t>
            </m:r>
          </m:sub>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*R*</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*ν</m:t>
        </m:r>
      </m:oMath>
      <w:r w:rsidRPr="00016124">
        <w:t xml:space="preserve">, where </w:t>
      </w:r>
      <m:oMath>
        <m:r>
          <w:rPr>
            <w:rFonts w:ascii="Cambria Math" w:hAnsi="Cambria Math"/>
          </w:rPr>
          <m:t>R</m:t>
        </m:r>
      </m:oMath>
      <w:r w:rsidRPr="00016124">
        <w:t xml:space="preserve"> is the coding rate, </w:t>
      </w:r>
      <m:oMath>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 </m:t>
        </m:r>
      </m:oMath>
      <w:r w:rsidRPr="00016124">
        <w:t xml:space="preserve">is the modulation order and </w:t>
      </w:r>
      <m:oMath>
        <m:r>
          <w:rPr>
            <w:rFonts w:ascii="Cambria Math" w:hAnsi="Cambria Math"/>
          </w:rPr>
          <m:t>ν</m:t>
        </m:r>
      </m:oMath>
      <w:r w:rsidRPr="00016124">
        <w:t xml:space="preserve"> is the number of layers</w:t>
      </w:r>
    </w:p>
    <w:p w14:paraId="4B34BFD0" w14:textId="77777777" w:rsidR="00D7086E" w:rsidRPr="00016124" w:rsidRDefault="00D7086E" w:rsidP="00A160DC">
      <w:pPr>
        <w:numPr>
          <w:ilvl w:val="0"/>
          <w:numId w:val="26"/>
        </w:numPr>
        <w:jc w:val="both"/>
      </w:pPr>
      <w:r w:rsidRPr="00016124">
        <w:t>Once the intermediate information bits are obtained, the TB size determination splits into two directions:</w:t>
      </w:r>
    </w:p>
    <w:p w14:paraId="41AF6AB9" w14:textId="294D379D" w:rsidR="00D7086E" w:rsidRPr="00016124" w:rsidRDefault="00D7086E" w:rsidP="00A160DC">
      <w:pPr>
        <w:numPr>
          <w:ilvl w:val="1"/>
          <w:numId w:val="28"/>
        </w:numPr>
        <w:jc w:val="both"/>
      </w:pPr>
      <w:r w:rsidRPr="00016124">
        <w:t xml:space="preserve">When </w:t>
      </w:r>
      <m:oMath>
        <m:sSub>
          <m:sSubPr>
            <m:ctrlPr>
              <w:rPr>
                <w:rFonts w:ascii="Cambria Math" w:hAnsi="Cambria Math"/>
                <w:i/>
                <w:iCs/>
              </w:rPr>
            </m:ctrlPr>
          </m:sSubPr>
          <m:e>
            <m:r>
              <w:rPr>
                <w:rFonts w:ascii="Cambria Math" w:hAnsi="Cambria Math"/>
              </w:rPr>
              <m:t>N</m:t>
            </m:r>
          </m:e>
          <m:sub>
            <m:r>
              <w:rPr>
                <w:rFonts w:ascii="Cambria Math" w:hAnsi="Cambria Math"/>
              </w:rPr>
              <m:t>info</m:t>
            </m:r>
          </m:sub>
        </m:sSub>
        <m:r>
          <w:rPr>
            <w:rFonts w:ascii="Cambria Math" w:hAnsi="Cambria Math" w:hint="eastAsia"/>
          </w:rPr>
          <m:t>≤</m:t>
        </m:r>
        <m:r>
          <w:rPr>
            <w:rFonts w:ascii="Cambria Math" w:hAnsi="Cambria Math"/>
          </w:rPr>
          <m:t>3824</m:t>
        </m:r>
      </m:oMath>
      <w:r w:rsidRPr="00016124">
        <w:t xml:space="preserve"> the TB size is based on a formula</w:t>
      </w:r>
    </w:p>
    <w:p w14:paraId="019E2516" w14:textId="02851E16" w:rsidR="00D7086E" w:rsidRPr="00016124" w:rsidRDefault="00D7086E" w:rsidP="00A160DC">
      <w:pPr>
        <w:numPr>
          <w:ilvl w:val="1"/>
          <w:numId w:val="28"/>
        </w:numPr>
        <w:jc w:val="both"/>
      </w:pPr>
      <w:r w:rsidRPr="00016124">
        <w:t xml:space="preserve">Else, a </w:t>
      </w:r>
      <w:r w:rsidR="00016124" w:rsidRPr="00016124">
        <w:t>formula-based</w:t>
      </w:r>
      <w:r w:rsidRPr="00016124">
        <w:t xml:space="preserve"> approach is used to compute the TB size.</w:t>
      </w:r>
    </w:p>
    <w:p w14:paraId="5FAB08FF" w14:textId="001F4284" w:rsidR="0094699A" w:rsidRDefault="00680CA2" w:rsidP="00016124">
      <w:pPr>
        <w:jc w:val="both"/>
      </w:pPr>
      <w:r w:rsidRPr="00016124">
        <w:lastRenderedPageBreak/>
        <w:t xml:space="preserve">To let the </w:t>
      </w:r>
      <w:proofErr w:type="gramStart"/>
      <w:r w:rsidR="00016124" w:rsidRPr="00016124">
        <w:t>UE</w:t>
      </w:r>
      <w:proofErr w:type="gramEnd"/>
      <w:r w:rsidRPr="00016124">
        <w:t xml:space="preserve"> take advantage of all </w:t>
      </w:r>
      <w:r w:rsidR="00C24AAA">
        <w:t>the available resources for TBoMS</w:t>
      </w:r>
      <w:r w:rsidRPr="00016124">
        <w:t xml:space="preserve"> and size its TB appropriately, we propose to</w:t>
      </w:r>
      <w:r w:rsidR="002433A0">
        <w:t xml:space="preserve"> make two changes to the above 4-step procedure. First, the number of REs per PRB identified in the first</w:t>
      </w:r>
      <w:r w:rsidR="00DA19D4">
        <w:t xml:space="preserve"> two</w:t>
      </w:r>
      <w:r w:rsidR="002433A0">
        <w:t xml:space="preserve"> step</w:t>
      </w:r>
      <w:r w:rsidR="00DA19D4">
        <w:t>s</w:t>
      </w:r>
      <w:r w:rsidR="002433A0">
        <w:t xml:space="preserve"> are reinterpreted to mean </w:t>
      </w:r>
      <w:r w:rsidR="00DA19D4">
        <w:t xml:space="preserve">total </w:t>
      </w:r>
      <w:r w:rsidR="002433A0">
        <w:t xml:space="preserve">REs available in a single transmission occasion of a TBoMS. Second, </w:t>
      </w:r>
      <w:r w:rsidRPr="00016124">
        <w:t xml:space="preserve">Step 3 </w:t>
      </w:r>
      <w:r w:rsidR="002433A0">
        <w:t xml:space="preserve">is altered to </w:t>
      </w:r>
      <w:r w:rsidRPr="00016124">
        <w:t xml:space="preserve">introduce a scale factor S, so that the intermediate information bits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Pr="00016124">
        <w:t xml:space="preserve"> is computed as </w:t>
      </w:r>
      <m:oMath>
        <m:r>
          <w:rPr>
            <w:rFonts w:ascii="Cambria Math" w:hAnsi="Cambria Math"/>
          </w:rPr>
          <m:t>S* </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*R*</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*ν, </m:t>
        </m:r>
      </m:oMath>
      <w:r w:rsidR="00D7086E" w:rsidRPr="00016124">
        <w:t xml:space="preserve">where </w:t>
      </w:r>
      <m:oMath>
        <m:r>
          <w:rPr>
            <w:rFonts w:ascii="Cambria Math" w:hAnsi="Cambria Math"/>
          </w:rPr>
          <m:t>S</m:t>
        </m:r>
      </m:oMath>
      <w:r w:rsidR="00D7086E" w:rsidRPr="00016124">
        <w:t xml:space="preserve"> is </w:t>
      </w:r>
      <w:r w:rsidRPr="00016124">
        <w:t>a scale factor taking values greater than or equal to 1.</w:t>
      </w:r>
      <w:r w:rsidR="00F81C6C">
        <w:t xml:space="preserve"> </w:t>
      </w:r>
      <w:r w:rsidR="003C2F38">
        <w:t>Using these observations, we make the following proposal</w:t>
      </w:r>
      <w:r w:rsidR="00D06530">
        <w:t>s</w:t>
      </w:r>
      <w:r w:rsidR="003C2F38">
        <w:t>:</w:t>
      </w:r>
    </w:p>
    <w:p w14:paraId="757DE429" w14:textId="3D28AA93" w:rsidR="00A160DC" w:rsidRDefault="00A160DC" w:rsidP="00A160DC">
      <w:pPr>
        <w:jc w:val="both"/>
      </w:pPr>
      <w:r w:rsidRPr="009B672E">
        <w:rPr>
          <w:b/>
        </w:rPr>
        <w:t>Proposal</w:t>
      </w:r>
      <w:r w:rsidR="00574132">
        <w:rPr>
          <w:b/>
        </w:rPr>
        <w:t xml:space="preserve"> </w:t>
      </w:r>
      <w:r w:rsidR="00F81C6C">
        <w:rPr>
          <w:b/>
        </w:rPr>
        <w:t>7</w:t>
      </w:r>
      <w:r w:rsidRPr="009B672E">
        <w:rPr>
          <w:b/>
        </w:rPr>
        <w:t>:</w:t>
      </w:r>
      <w:r w:rsidRPr="009B672E">
        <w:t xml:space="preserve"> </w:t>
      </w:r>
      <w:r>
        <w:t xml:space="preserve">When determining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t xml:space="preserve"> for TBoMS,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is the number of resource</w:t>
      </w:r>
      <w:r w:rsidR="00DA19D4">
        <w:t xml:space="preserve"> element</w:t>
      </w:r>
      <w:r>
        <w:t xml:space="preserve">s available in a transmission occasion of TBoMS. </w:t>
      </w:r>
    </w:p>
    <w:p w14:paraId="11ACD414" w14:textId="2A057695" w:rsidR="00A160DC" w:rsidRPr="009B672E" w:rsidRDefault="00A160DC" w:rsidP="00A160DC">
      <w:pPr>
        <w:jc w:val="both"/>
      </w:pPr>
      <w:r w:rsidRPr="00A160DC">
        <w:rPr>
          <w:b/>
        </w:rPr>
        <w:t>Proposal</w:t>
      </w:r>
      <w:r w:rsidR="00574132">
        <w:rPr>
          <w:b/>
        </w:rPr>
        <w:t xml:space="preserve"> </w:t>
      </w:r>
      <w:r w:rsidR="00F81C6C">
        <w:rPr>
          <w:b/>
        </w:rPr>
        <w:t>8</w:t>
      </w:r>
      <w:r w:rsidRPr="00A160DC">
        <w:rPr>
          <w:b/>
        </w:rPr>
        <w:t>:</w:t>
      </w:r>
      <w:r>
        <w:t xml:space="preserve"> When</w:t>
      </w:r>
      <w:r w:rsidRPr="009B672E">
        <w:t xml:space="preserve"> determining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cs="Cambria Math"/>
              </w:rPr>
              <m:t>info</m:t>
            </m:r>
          </m:sub>
        </m:sSub>
      </m:oMath>
      <w:r>
        <w:t xml:space="preserve"> </w:t>
      </w:r>
      <w:r w:rsidRPr="009B672E">
        <w:t xml:space="preserve"> for TBoMS, introduce a new scale factor</w:t>
      </w:r>
      <w:r w:rsidR="005270F6">
        <w:t xml:space="preserve"> (taking values greater than or equal to 1)</w:t>
      </w:r>
      <w:r w:rsidRPr="009B672E">
        <w:t xml:space="preserve"> to compute the intermediate number of information bits. </w:t>
      </w:r>
    </w:p>
    <w:p w14:paraId="2E50AB5B" w14:textId="77777777" w:rsidR="00A160DC" w:rsidRPr="009B672E" w:rsidRDefault="00A160DC" w:rsidP="00A160DC">
      <w:pPr>
        <w:ind w:left="720"/>
        <w:jc w:val="both"/>
      </w:pPr>
      <w:r w:rsidRPr="009B672E">
        <w:t xml:space="preserve">FFS: permitted values for the scale factor. </w:t>
      </w:r>
    </w:p>
    <w:p w14:paraId="67CA7C5A" w14:textId="77777777" w:rsidR="00A160DC" w:rsidRPr="009B672E" w:rsidRDefault="00A160DC" w:rsidP="00A160DC">
      <w:pPr>
        <w:ind w:left="720"/>
        <w:jc w:val="both"/>
      </w:pPr>
      <w:r w:rsidRPr="009B672E">
        <w:t>FFS: signaling aspects of the scale factor.</w:t>
      </w:r>
    </w:p>
    <w:p w14:paraId="5E116EAC" w14:textId="77777777" w:rsidR="00A160DC" w:rsidRPr="009B672E" w:rsidRDefault="00A160DC" w:rsidP="00A160DC">
      <w:pPr>
        <w:ind w:left="720"/>
        <w:jc w:val="both"/>
      </w:pPr>
      <w:r w:rsidRPr="009B672E">
        <w:t>FFS: restrictions on when the scale factor can be used/signaled.</w:t>
      </w:r>
    </w:p>
    <w:p w14:paraId="3B99CE1C" w14:textId="778F0040" w:rsidR="005270F6" w:rsidRDefault="005270F6" w:rsidP="005270F6">
      <w:pPr>
        <w:jc w:val="both"/>
      </w:pPr>
      <w:r w:rsidRPr="005270F6">
        <w:rPr>
          <w:b/>
          <w:bCs/>
        </w:rPr>
        <w:t>Proposal</w:t>
      </w:r>
      <w:r w:rsidR="00D1403B">
        <w:rPr>
          <w:b/>
          <w:bCs/>
        </w:rPr>
        <w:t xml:space="preserve"> 9</w:t>
      </w:r>
      <w:r w:rsidRPr="005270F6">
        <w:rPr>
          <w:b/>
          <w:bCs/>
        </w:rPr>
        <w:t>:</w:t>
      </w:r>
      <w:r>
        <w:t xml:space="preserve"> For TBoMS, no new </w:t>
      </w:r>
      <w:r w:rsidRPr="005270F6">
        <w:t>TB sizes are introduced.</w:t>
      </w:r>
    </w:p>
    <w:p w14:paraId="47AF84A5" w14:textId="09C41B68" w:rsidR="002433A0" w:rsidRPr="009B672E" w:rsidRDefault="00DA19D4" w:rsidP="002433A0">
      <w:pPr>
        <w:jc w:val="both"/>
      </w:pPr>
      <w:r>
        <w:t xml:space="preserve">Further, </w:t>
      </w:r>
      <m:oMath>
        <m:sSubSup>
          <m:sSubSupPr>
            <m:ctrlPr>
              <w:rPr>
                <w:rFonts w:ascii="Cambria Math" w:hAnsi="Cambria Math"/>
                <w:i/>
              </w:rPr>
            </m:ctrlPr>
          </m:sSubSupPr>
          <m:e>
            <m:r>
              <w:rPr>
                <w:rFonts w:ascii="Cambria Math" w:hAnsi="Cambria Math" w:cs="Cambria Math"/>
              </w:rPr>
              <m:t>N</m:t>
            </m:r>
            <m:ctrlPr>
              <w:rPr>
                <w:rFonts w:ascii="Cambria Math" w:hAnsi="Cambria Math" w:cs="Cambria Math"/>
                <w:i/>
              </w:rPr>
            </m:ctrlPr>
          </m:e>
          <m:sub>
            <m:r>
              <w:rPr>
                <w:rFonts w:ascii="Cambria Math" w:hAnsi="Cambria Math" w:cs="Cambria Math"/>
              </w:rPr>
              <m:t>OH</m:t>
            </m:r>
          </m:sub>
          <m:sup>
            <m:r>
              <w:rPr>
                <w:rFonts w:ascii="Cambria Math" w:hAnsi="Cambria Math" w:cs="Cambria Math"/>
              </w:rPr>
              <m:t>PRB</m:t>
            </m:r>
          </m:sup>
        </m:sSubSup>
      </m:oMath>
      <w:r>
        <w:t xml:space="preserve"> used in the first step is assumed to the same across an entire TBoMS transmission occasion and configured via the RRC parameter xOverhead as in Rel-15/16. This is captured in the following proposal:</w:t>
      </w:r>
    </w:p>
    <w:p w14:paraId="010011BB" w14:textId="310BEB3F" w:rsidR="00A160DC" w:rsidRDefault="00A160DC" w:rsidP="00A160DC">
      <w:pPr>
        <w:jc w:val="both"/>
      </w:pPr>
      <w:r w:rsidRPr="00FB225B">
        <w:rPr>
          <w:b/>
        </w:rPr>
        <w:t>Proposal</w:t>
      </w:r>
      <w:r w:rsidR="00574132">
        <w:rPr>
          <w:b/>
        </w:rPr>
        <w:t xml:space="preserve"> </w:t>
      </w:r>
      <w:r w:rsidR="00735055">
        <w:rPr>
          <w:b/>
        </w:rPr>
        <w:t>10</w:t>
      </w:r>
      <w:r w:rsidRPr="009B672E">
        <w:t xml:space="preserve">: For TBoMS, </w:t>
      </w:r>
      <m:oMath>
        <m:sSubSup>
          <m:sSubSupPr>
            <m:ctrlPr>
              <w:rPr>
                <w:rFonts w:ascii="Cambria Math" w:hAnsi="Cambria Math"/>
                <w:i/>
              </w:rPr>
            </m:ctrlPr>
          </m:sSubSupPr>
          <m:e>
            <m:r>
              <w:rPr>
                <w:rFonts w:ascii="Cambria Math" w:hAnsi="Cambria Math" w:cs="Cambria Math"/>
              </w:rPr>
              <m:t>N</m:t>
            </m:r>
            <m:ctrlPr>
              <w:rPr>
                <w:rFonts w:ascii="Cambria Math" w:hAnsi="Cambria Math" w:cs="Cambria Math"/>
                <w:i/>
              </w:rPr>
            </m:ctrlPr>
          </m:e>
          <m:sub>
            <m:r>
              <w:rPr>
                <w:rFonts w:ascii="Cambria Math" w:hAnsi="Cambria Math" w:cs="Cambria Math"/>
              </w:rPr>
              <m:t>OH</m:t>
            </m:r>
          </m:sub>
          <m:sup>
            <m:r>
              <w:rPr>
                <w:rFonts w:ascii="Cambria Math" w:hAnsi="Cambria Math" w:cs="Cambria Math"/>
              </w:rPr>
              <m:t>PRB</m:t>
            </m:r>
          </m:sup>
        </m:sSubSup>
      </m:oMath>
      <w:r w:rsidRPr="009B672E">
        <w:t xml:space="preserve"> is assumed to be the </w:t>
      </w:r>
      <w:r w:rsidR="00DA19D4">
        <w:t>same across an entire TBoMS transmission occasion</w:t>
      </w:r>
      <w:r w:rsidR="00B01EB9">
        <w:t xml:space="preserve"> and</w:t>
      </w:r>
      <w:r w:rsidR="00DA19D4">
        <w:t xml:space="preserve"> is </w:t>
      </w:r>
      <w:r w:rsidRPr="009B672E">
        <w:t xml:space="preserve">configured </w:t>
      </w:r>
      <w:r w:rsidR="00DA19D4">
        <w:t>via</w:t>
      </w:r>
      <w:r w:rsidRPr="009B672E">
        <w:t xml:space="preserve"> xOverhead as in Rel-15/16.</w:t>
      </w:r>
    </w:p>
    <w:p w14:paraId="3D4AAC65" w14:textId="7617B347" w:rsidR="002433A0" w:rsidRDefault="002433A0" w:rsidP="002433A0">
      <w:pPr>
        <w:pStyle w:val="Heading2"/>
      </w:pPr>
      <w:r>
        <w:t>Restriction on TBoMS</w:t>
      </w:r>
    </w:p>
    <w:p w14:paraId="5CF25049" w14:textId="1D2916AB" w:rsidR="003C2F38" w:rsidRPr="00462F56" w:rsidRDefault="00594CE1" w:rsidP="00016124">
      <w:pPr>
        <w:jc w:val="both"/>
      </w:pPr>
      <w:r>
        <w:t xml:space="preserve">In addition to these aspects, we need to identify clear limits on when TBS scaling is applicable. For instance, </w:t>
      </w:r>
      <w:r w:rsidR="00016124">
        <w:t>it’s</w:t>
      </w:r>
      <w:r>
        <w:t xml:space="preserve"> clear that the benefits of TBS scaling no longer apply when we need multiple codeblocks to encode a TB. In </w:t>
      </w:r>
      <w:r w:rsidR="00016124">
        <w:t>addition,</w:t>
      </w:r>
      <w:r>
        <w:t xml:space="preserve"> as the number of allocated RBs, and MCS grow, the coding gain due to TB bundling is diminished or even non-existent. For these cases, TBS scaling brings no performance gain, but can lead to an increase in UE implementation complexity due to increase in circular buffer size. </w:t>
      </w:r>
      <w:r w:rsidR="00F2381C">
        <w:t>Furthermore, it is desirable to limit TBoMS transmission over a single layer transmission (</w:t>
      </w:r>
      <w:proofErr w:type="gramStart"/>
      <w:r w:rsidR="00F2381C">
        <w:t>similar to</w:t>
      </w:r>
      <w:proofErr w:type="gramEnd"/>
      <w:r w:rsidR="00F2381C">
        <w:t xml:space="preserve"> PUSCH repetition type A) for the coverage use case. </w:t>
      </w:r>
      <w:r>
        <w:t>For these reasons, it is important for us to identify clear conditions under which TBS scaling can be applied and we make the following proposal</w:t>
      </w:r>
      <w:r w:rsidR="00016124">
        <w:t>:</w:t>
      </w:r>
    </w:p>
    <w:p w14:paraId="1671AE66" w14:textId="636EA961" w:rsidR="00462F56" w:rsidRDefault="00462F56" w:rsidP="00016124">
      <w:pPr>
        <w:jc w:val="both"/>
      </w:pPr>
      <w:r w:rsidRPr="00462F56">
        <w:rPr>
          <w:b/>
          <w:bCs/>
        </w:rPr>
        <w:t>Proposal</w:t>
      </w:r>
      <w:r w:rsidR="00574132">
        <w:rPr>
          <w:b/>
          <w:bCs/>
        </w:rPr>
        <w:t xml:space="preserve"> </w:t>
      </w:r>
      <w:r w:rsidR="00B01EB9">
        <w:rPr>
          <w:b/>
          <w:bCs/>
        </w:rPr>
        <w:t>1</w:t>
      </w:r>
      <w:r w:rsidR="00735055">
        <w:rPr>
          <w:b/>
          <w:bCs/>
        </w:rPr>
        <w:t>1</w:t>
      </w:r>
      <w:r w:rsidRPr="00462F56">
        <w:rPr>
          <w:b/>
          <w:bCs/>
        </w:rPr>
        <w:t xml:space="preserve">: </w:t>
      </w:r>
      <w:r w:rsidR="00DA19D4">
        <w:t xml:space="preserve">Restrict TBoMS transmissions to TB sizes that permit single codeblock transmissions </w:t>
      </w:r>
      <w:r w:rsidR="00F2381C">
        <w:t>(</w:t>
      </w:r>
      <w:r w:rsidR="00DA19D4">
        <w:t>i.e., entire TB can be encoded as a single codeblock</w:t>
      </w:r>
      <w:r w:rsidR="00F2381C">
        <w:t>)</w:t>
      </w:r>
      <w:r w:rsidR="00137270">
        <w:t xml:space="preserve">. Furthermore, restrict TBoMS transmission to </w:t>
      </w:r>
      <w:r w:rsidR="00F2381C">
        <w:t>single layer transmission</w:t>
      </w:r>
      <w:r w:rsidR="005F43FC">
        <w:t>s</w:t>
      </w:r>
      <w:r w:rsidR="00DA19D4">
        <w:t>.</w:t>
      </w:r>
      <w:r w:rsidR="00291D9A">
        <w:t xml:space="preserve"> </w:t>
      </w:r>
    </w:p>
    <w:p w14:paraId="270DA66D" w14:textId="76AE3D5F" w:rsidR="00C37C05" w:rsidRDefault="00D7086E" w:rsidP="00016124">
      <w:pPr>
        <w:pStyle w:val="Heading1"/>
        <w:jc w:val="both"/>
        <w:rPr>
          <w:rFonts w:ascii="Times New Roman" w:hAnsi="Times New Roman"/>
          <w:lang w:val="en-US"/>
        </w:rPr>
      </w:pPr>
      <w:r>
        <w:rPr>
          <w:rFonts w:ascii="Times New Roman" w:hAnsi="Times New Roman"/>
          <w:lang w:val="en-US"/>
        </w:rPr>
        <w:t>C</w:t>
      </w:r>
      <w:r w:rsidR="00C37C05" w:rsidRPr="002C136E">
        <w:rPr>
          <w:rFonts w:ascii="Times New Roman" w:hAnsi="Times New Roman"/>
          <w:lang w:val="en-US"/>
        </w:rPr>
        <w:t>onclusion</w:t>
      </w:r>
    </w:p>
    <w:p w14:paraId="157558D4" w14:textId="526BE8E4" w:rsidR="00824450" w:rsidRDefault="00824450" w:rsidP="00016124">
      <w:pPr>
        <w:jc w:val="both"/>
      </w:pPr>
      <w:r>
        <w:t xml:space="preserve">Based on the discussion presented in </w:t>
      </w:r>
      <w:r w:rsidR="00016124">
        <w:t>t</w:t>
      </w:r>
      <w:r>
        <w:t>he earlier sections, we have the following proposals.</w:t>
      </w:r>
    </w:p>
    <w:p w14:paraId="340D9A64" w14:textId="77777777" w:rsidR="00E22770" w:rsidRDefault="00E22770" w:rsidP="00E22770">
      <w:pPr>
        <w:overflowPunct/>
        <w:autoSpaceDE/>
        <w:autoSpaceDN/>
        <w:adjustRightInd/>
        <w:spacing w:before="120" w:after="120" w:line="276" w:lineRule="auto"/>
        <w:jc w:val="both"/>
        <w:textAlignment w:val="auto"/>
        <w:rPr>
          <w:lang w:eastAsia="zh-CN"/>
        </w:rPr>
      </w:pPr>
      <w:r w:rsidRPr="00F521B6">
        <w:rPr>
          <w:b/>
          <w:lang w:eastAsia="zh-CN"/>
        </w:rPr>
        <w:t>Proposal</w:t>
      </w:r>
      <w:r>
        <w:rPr>
          <w:b/>
          <w:lang w:eastAsia="zh-CN"/>
        </w:rPr>
        <w:t xml:space="preserve"> 1</w:t>
      </w:r>
      <w:r w:rsidRPr="00F521B6">
        <w:rPr>
          <w:b/>
          <w:lang w:eastAsia="zh-CN"/>
        </w:rPr>
        <w:t>:</w:t>
      </w:r>
      <w:r>
        <w:rPr>
          <w:lang w:eastAsia="zh-CN"/>
        </w:rPr>
        <w:t xml:space="preserve"> Prioritize a modular approach to TBoMS transmission, i.e., when resources for TBoMS span across multiple contiguous/noncontiguous slots, view resources in each slot as one self-contained segment of a longer transmission.</w:t>
      </w:r>
    </w:p>
    <w:p w14:paraId="18D428F1" w14:textId="77777777" w:rsidR="00E22770" w:rsidRDefault="00E22770" w:rsidP="00E22770">
      <w:pPr>
        <w:overflowPunct/>
        <w:autoSpaceDE/>
        <w:autoSpaceDN/>
        <w:adjustRightInd/>
        <w:spacing w:before="120" w:after="120" w:line="276" w:lineRule="auto"/>
        <w:jc w:val="both"/>
        <w:textAlignment w:val="auto"/>
        <w:rPr>
          <w:lang w:eastAsia="zh-CN"/>
        </w:rPr>
      </w:pPr>
      <w:r w:rsidRPr="00113975">
        <w:rPr>
          <w:b/>
          <w:color w:val="000000" w:themeColor="text1"/>
          <w:lang w:eastAsia="zh-CN"/>
        </w:rPr>
        <w:t>Proposal</w:t>
      </w:r>
      <w:r>
        <w:rPr>
          <w:b/>
          <w:color w:val="000000" w:themeColor="text1"/>
          <w:lang w:eastAsia="zh-CN"/>
        </w:rPr>
        <w:t xml:space="preserve"> 2</w:t>
      </w:r>
      <w:r w:rsidRPr="00113975">
        <w:rPr>
          <w:b/>
          <w:color w:val="000000" w:themeColor="text1"/>
          <w:lang w:eastAsia="zh-CN"/>
        </w:rPr>
        <w:t xml:space="preserve">: </w:t>
      </w:r>
      <w:r>
        <w:rPr>
          <w:lang w:eastAsia="zh-CN"/>
        </w:rPr>
        <w:t>PUSCH repetition Type A serves as a starting point for time domain resource determination of TBoMS.</w:t>
      </w:r>
    </w:p>
    <w:p w14:paraId="3E7D2CCE" w14:textId="77777777" w:rsidR="00F81C6C" w:rsidRPr="005E4C14" w:rsidRDefault="00F81C6C" w:rsidP="00F81C6C">
      <w:pPr>
        <w:keepNext/>
        <w:jc w:val="both"/>
      </w:pPr>
      <w:r w:rsidRPr="005E4C14">
        <w:rPr>
          <w:b/>
        </w:rPr>
        <w:t>Proposal</w:t>
      </w:r>
      <w:r>
        <w:rPr>
          <w:b/>
        </w:rPr>
        <w:t xml:space="preserve"> 3</w:t>
      </w:r>
      <w:r w:rsidRPr="005E4C14">
        <w:rPr>
          <w:b/>
        </w:rPr>
        <w:t>:</w:t>
      </w:r>
      <w:r w:rsidRPr="005E4C14">
        <w:t xml:space="preserve"> A transmission occasion of a TBoMS</w:t>
      </w:r>
      <w:r>
        <w:t xml:space="preserve"> (TOT)</w:t>
      </w:r>
      <w:r w:rsidRPr="005E4C14">
        <w:t xml:space="preserve"> constitutes a set of contiguous resources (symbols) spanning one or more slots. A TBoMS transmission can constitute </w:t>
      </w:r>
      <w:r>
        <w:t xml:space="preserve">transmissions across </w:t>
      </w:r>
      <w:r w:rsidRPr="005E4C14">
        <w:t>one o</w:t>
      </w:r>
      <w:r>
        <w:t>r</w:t>
      </w:r>
      <w:r w:rsidRPr="005E4C14">
        <w:t xml:space="preserve"> more transmission occasions. PUSCH </w:t>
      </w:r>
      <w:r>
        <w:t xml:space="preserve">Type A </w:t>
      </w:r>
      <w:r w:rsidRPr="005E4C14">
        <w:t>repetition</w:t>
      </w:r>
      <w:r>
        <w:t xml:space="preserve">s </w:t>
      </w:r>
      <w:r w:rsidRPr="005E4C14">
        <w:t>and RV cycling framework</w:t>
      </w:r>
      <w:r>
        <w:t xml:space="preserve"> in </w:t>
      </w:r>
      <w:r w:rsidRPr="005E4C14">
        <w:t xml:space="preserve">R15/R16 is repurposed for TBoMS transmission across multiple transmission occasions. </w:t>
      </w:r>
    </w:p>
    <w:p w14:paraId="632CC11C" w14:textId="77777777" w:rsidR="00F81C6C" w:rsidRDefault="00F81C6C" w:rsidP="00F81C6C">
      <w:pPr>
        <w:pStyle w:val="ListParagraph"/>
        <w:keepNext/>
        <w:numPr>
          <w:ilvl w:val="0"/>
          <w:numId w:val="34"/>
        </w:numPr>
        <w:jc w:val="both"/>
      </w:pPr>
      <w:r w:rsidRPr="005E4C14">
        <w:t>FFS: limits on maximum duration of a transmission occasion of a TBoMS</w:t>
      </w:r>
      <w:r>
        <w:t>.</w:t>
      </w:r>
    </w:p>
    <w:p w14:paraId="650DCB8E" w14:textId="77777777" w:rsidR="00F81C6C" w:rsidRDefault="00F81C6C" w:rsidP="00F81C6C">
      <w:pPr>
        <w:keepNext/>
        <w:jc w:val="both"/>
      </w:pPr>
      <w:r w:rsidRPr="00465F61">
        <w:rPr>
          <w:b/>
          <w:bCs/>
        </w:rPr>
        <w:t xml:space="preserve">Proposal </w:t>
      </w:r>
      <w:r>
        <w:rPr>
          <w:b/>
          <w:bCs/>
        </w:rPr>
        <w:t>4</w:t>
      </w:r>
      <w:r w:rsidRPr="00465F61">
        <w:rPr>
          <w:b/>
          <w:bCs/>
        </w:rPr>
        <w:t xml:space="preserve">: </w:t>
      </w:r>
      <w:r>
        <w:t>If repetition of TBoMS is allowed, then Option 2 is preferred to define a single TBoMS. Else, Option 4 is chosen to define a single TBoMS.</w:t>
      </w:r>
    </w:p>
    <w:p w14:paraId="3752D6C8" w14:textId="77777777" w:rsidR="00F81C6C" w:rsidRDefault="00F81C6C" w:rsidP="00F81C6C">
      <w:pPr>
        <w:jc w:val="both"/>
      </w:pPr>
      <w:r w:rsidRPr="00BC01FE">
        <w:rPr>
          <w:b/>
        </w:rPr>
        <w:t>Proposal</w:t>
      </w:r>
      <w:r>
        <w:rPr>
          <w:b/>
        </w:rPr>
        <w:t xml:space="preserve"> 5</w:t>
      </w:r>
      <w:r w:rsidRPr="00BC01FE">
        <w:rPr>
          <w:b/>
        </w:rPr>
        <w:t>:</w:t>
      </w:r>
      <w:r>
        <w:t xml:space="preserve"> Depending on the duration of the transmission occasion spanning contiguous resources, RV index for a transmission within a transmission occasion is chosen based on one of the following two options:</w:t>
      </w:r>
    </w:p>
    <w:p w14:paraId="000683D6" w14:textId="77777777" w:rsidR="00F81C6C" w:rsidRDefault="00F81C6C" w:rsidP="00F81C6C">
      <w:pPr>
        <w:pStyle w:val="ListParagraph"/>
        <w:numPr>
          <w:ilvl w:val="0"/>
          <w:numId w:val="33"/>
        </w:numPr>
        <w:jc w:val="both"/>
      </w:pPr>
      <w:r>
        <w:t>A single RV index is used across the entire transmission occasion.</w:t>
      </w:r>
    </w:p>
    <w:p w14:paraId="14FC5FAB" w14:textId="77777777" w:rsidR="00F81C6C" w:rsidRDefault="00F81C6C" w:rsidP="00F81C6C">
      <w:pPr>
        <w:pStyle w:val="ListParagraph"/>
        <w:numPr>
          <w:ilvl w:val="0"/>
          <w:numId w:val="33"/>
        </w:numPr>
        <w:jc w:val="both"/>
      </w:pPr>
      <w:r>
        <w:lastRenderedPageBreak/>
        <w:t>An updated RV index is used each time a slot boundary is crossed within a transmission occasion.</w:t>
      </w:r>
    </w:p>
    <w:p w14:paraId="456B3CF3" w14:textId="3D9E3449" w:rsidR="00F81C6C" w:rsidRDefault="00F81C6C" w:rsidP="00F81C6C">
      <w:r w:rsidRPr="00FD2096">
        <w:rPr>
          <w:b/>
          <w:bCs/>
        </w:rPr>
        <w:t>Proposal</w:t>
      </w:r>
      <w:r>
        <w:rPr>
          <w:b/>
          <w:bCs/>
        </w:rPr>
        <w:t xml:space="preserve"> 6</w:t>
      </w:r>
      <w:r w:rsidRPr="00FD2096">
        <w:rPr>
          <w:b/>
          <w:bCs/>
        </w:rPr>
        <w:t>:</w:t>
      </w:r>
      <w:r>
        <w:t xml:space="preserve"> Adopt per-slot rate matching for TBoMS.</w:t>
      </w:r>
    </w:p>
    <w:p w14:paraId="6CF10137" w14:textId="77777777" w:rsidR="00735055" w:rsidRDefault="00735055" w:rsidP="00735055">
      <w:pPr>
        <w:jc w:val="both"/>
      </w:pPr>
      <w:r w:rsidRPr="009B672E">
        <w:rPr>
          <w:b/>
        </w:rPr>
        <w:t>Proposal</w:t>
      </w:r>
      <w:r>
        <w:rPr>
          <w:b/>
        </w:rPr>
        <w:t xml:space="preserve"> 7</w:t>
      </w:r>
      <w:r w:rsidRPr="009B672E">
        <w:rPr>
          <w:b/>
        </w:rPr>
        <w:t>:</w:t>
      </w:r>
      <w:r w:rsidRPr="009B672E">
        <w:t xml:space="preserve"> </w:t>
      </w:r>
      <w:r>
        <w:t xml:space="preserve">When determining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t xml:space="preserve"> for TBoMS,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is the number of resource elements available in a transmission occasion of TBoMS. </w:t>
      </w:r>
    </w:p>
    <w:p w14:paraId="74C88646" w14:textId="77777777" w:rsidR="00735055" w:rsidRPr="009B672E" w:rsidRDefault="00735055" w:rsidP="00735055">
      <w:pPr>
        <w:jc w:val="both"/>
      </w:pPr>
      <w:r w:rsidRPr="00A160DC">
        <w:rPr>
          <w:b/>
        </w:rPr>
        <w:t>Proposal</w:t>
      </w:r>
      <w:r>
        <w:rPr>
          <w:b/>
        </w:rPr>
        <w:t xml:space="preserve"> 8</w:t>
      </w:r>
      <w:r w:rsidRPr="00A160DC">
        <w:rPr>
          <w:b/>
        </w:rPr>
        <w:t>:</w:t>
      </w:r>
      <w:r>
        <w:t xml:space="preserve"> When</w:t>
      </w:r>
      <w:r w:rsidRPr="009B672E">
        <w:t xml:space="preserve"> determining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cs="Cambria Math"/>
              </w:rPr>
              <m:t>info</m:t>
            </m:r>
          </m:sub>
        </m:sSub>
      </m:oMath>
      <w:r>
        <w:t xml:space="preserve"> </w:t>
      </w:r>
      <w:r w:rsidRPr="009B672E">
        <w:t xml:space="preserve"> for TBoMS, introduce a new scale factor</w:t>
      </w:r>
      <w:r>
        <w:t xml:space="preserve"> (taking values greater than or equal to 1)</w:t>
      </w:r>
      <w:r w:rsidRPr="009B672E">
        <w:t xml:space="preserve"> to compute the intermediate number of information bits. </w:t>
      </w:r>
    </w:p>
    <w:p w14:paraId="4BD42FD4" w14:textId="77777777" w:rsidR="00735055" w:rsidRPr="009B672E" w:rsidRDefault="00735055" w:rsidP="00735055">
      <w:pPr>
        <w:ind w:left="720"/>
        <w:jc w:val="both"/>
      </w:pPr>
      <w:r w:rsidRPr="009B672E">
        <w:t xml:space="preserve">FFS: permitted values for the scale factor. </w:t>
      </w:r>
    </w:p>
    <w:p w14:paraId="263BB05C" w14:textId="77777777" w:rsidR="00735055" w:rsidRPr="009B672E" w:rsidRDefault="00735055" w:rsidP="00735055">
      <w:pPr>
        <w:ind w:left="720"/>
        <w:jc w:val="both"/>
      </w:pPr>
      <w:r w:rsidRPr="009B672E">
        <w:t>FFS: signaling aspects of the scale factor.</w:t>
      </w:r>
    </w:p>
    <w:p w14:paraId="5AE972D1" w14:textId="77777777" w:rsidR="00735055" w:rsidRPr="009B672E" w:rsidRDefault="00735055" w:rsidP="00735055">
      <w:pPr>
        <w:ind w:left="720"/>
        <w:jc w:val="both"/>
      </w:pPr>
      <w:r w:rsidRPr="009B672E">
        <w:t>FFS: restrictions on when the scale factor can be used/signaled.</w:t>
      </w:r>
    </w:p>
    <w:p w14:paraId="48E69B02" w14:textId="77777777" w:rsidR="00735055" w:rsidRDefault="00735055" w:rsidP="00735055">
      <w:pPr>
        <w:jc w:val="both"/>
      </w:pPr>
      <w:r w:rsidRPr="005270F6">
        <w:rPr>
          <w:b/>
          <w:bCs/>
        </w:rPr>
        <w:t>Proposal</w:t>
      </w:r>
      <w:r>
        <w:rPr>
          <w:b/>
          <w:bCs/>
        </w:rPr>
        <w:t xml:space="preserve"> 9</w:t>
      </w:r>
      <w:r w:rsidRPr="005270F6">
        <w:rPr>
          <w:b/>
          <w:bCs/>
        </w:rPr>
        <w:t>:</w:t>
      </w:r>
      <w:r>
        <w:t xml:space="preserve"> For TBoMS, no new </w:t>
      </w:r>
      <w:r w:rsidRPr="005270F6">
        <w:t>TB sizes are introduced.</w:t>
      </w:r>
    </w:p>
    <w:p w14:paraId="07EECC1D" w14:textId="77777777" w:rsidR="00735055" w:rsidRDefault="00735055" w:rsidP="00735055">
      <w:pPr>
        <w:jc w:val="both"/>
      </w:pPr>
      <w:r w:rsidRPr="00FB225B">
        <w:rPr>
          <w:b/>
        </w:rPr>
        <w:t>Proposal</w:t>
      </w:r>
      <w:r>
        <w:rPr>
          <w:b/>
        </w:rPr>
        <w:t xml:space="preserve"> 10</w:t>
      </w:r>
      <w:r w:rsidRPr="009B672E">
        <w:t xml:space="preserve">: For TBoMS, </w:t>
      </w:r>
      <m:oMath>
        <m:sSubSup>
          <m:sSubSupPr>
            <m:ctrlPr>
              <w:rPr>
                <w:rFonts w:ascii="Cambria Math" w:hAnsi="Cambria Math"/>
                <w:i/>
              </w:rPr>
            </m:ctrlPr>
          </m:sSubSupPr>
          <m:e>
            <m:r>
              <w:rPr>
                <w:rFonts w:ascii="Cambria Math" w:hAnsi="Cambria Math" w:cs="Cambria Math"/>
              </w:rPr>
              <m:t>N</m:t>
            </m:r>
            <m:ctrlPr>
              <w:rPr>
                <w:rFonts w:ascii="Cambria Math" w:hAnsi="Cambria Math" w:cs="Cambria Math"/>
                <w:i/>
              </w:rPr>
            </m:ctrlPr>
          </m:e>
          <m:sub>
            <m:r>
              <w:rPr>
                <w:rFonts w:ascii="Cambria Math" w:hAnsi="Cambria Math" w:cs="Cambria Math"/>
              </w:rPr>
              <m:t>OH</m:t>
            </m:r>
          </m:sub>
          <m:sup>
            <m:r>
              <w:rPr>
                <w:rFonts w:ascii="Cambria Math" w:hAnsi="Cambria Math" w:cs="Cambria Math"/>
              </w:rPr>
              <m:t>PRB</m:t>
            </m:r>
          </m:sup>
        </m:sSubSup>
      </m:oMath>
      <w:r w:rsidRPr="009B672E">
        <w:t xml:space="preserve"> is assumed to be the </w:t>
      </w:r>
      <w:r>
        <w:t xml:space="preserve">same across an entire TBoMS transmission occasion and is </w:t>
      </w:r>
      <w:r w:rsidRPr="009B672E">
        <w:t xml:space="preserve">configured </w:t>
      </w:r>
      <w:r>
        <w:t>via</w:t>
      </w:r>
      <w:r w:rsidRPr="009B672E">
        <w:t xml:space="preserve"> xOverhead as in Rel-15/16.</w:t>
      </w:r>
    </w:p>
    <w:p w14:paraId="78F397A5" w14:textId="0BFED6FD" w:rsidR="00E22770" w:rsidRDefault="00B01EB9" w:rsidP="00016124">
      <w:pPr>
        <w:jc w:val="both"/>
      </w:pPr>
      <w:r w:rsidRPr="00462F56">
        <w:rPr>
          <w:b/>
          <w:bCs/>
        </w:rPr>
        <w:t>Proposal</w:t>
      </w:r>
      <w:r>
        <w:rPr>
          <w:b/>
          <w:bCs/>
        </w:rPr>
        <w:t xml:space="preserve"> 1</w:t>
      </w:r>
      <w:r w:rsidR="00735055">
        <w:rPr>
          <w:b/>
          <w:bCs/>
        </w:rPr>
        <w:t>1</w:t>
      </w:r>
      <w:r w:rsidRPr="00462F56">
        <w:rPr>
          <w:b/>
          <w:bCs/>
        </w:rPr>
        <w:t xml:space="preserve">: </w:t>
      </w:r>
      <w:r>
        <w:t>Restrict TBoMS transmissions to TB sizes that permit single codeblock transmissions (i.e., entire TB can be encoded as a single codeblock). Furthermore, restrict TBoMS transmission to single layer transmissions.</w:t>
      </w:r>
    </w:p>
    <w:p w14:paraId="02810CFE" w14:textId="765DAAA3" w:rsidR="00746535" w:rsidRPr="002C136E" w:rsidRDefault="00746535" w:rsidP="00016124">
      <w:pPr>
        <w:pStyle w:val="Heading1"/>
        <w:jc w:val="both"/>
        <w:rPr>
          <w:rFonts w:ascii="Times New Roman" w:hAnsi="Times New Roman"/>
        </w:rPr>
      </w:pPr>
      <w:r w:rsidRPr="002C136E">
        <w:rPr>
          <w:rFonts w:ascii="Times New Roman" w:hAnsi="Times New Roman"/>
        </w:rPr>
        <w:t>Reference</w:t>
      </w:r>
      <w:r w:rsidR="00DA19D4">
        <w:rPr>
          <w:rFonts w:ascii="Times New Roman" w:hAnsi="Times New Roman"/>
        </w:rPr>
        <w:t>s</w:t>
      </w:r>
    </w:p>
    <w:p w14:paraId="23A294BD" w14:textId="2F85B695" w:rsidR="00746535" w:rsidRPr="00565EE1" w:rsidRDefault="00662FEF" w:rsidP="00565EE1">
      <w:pPr>
        <w:pStyle w:val="BodyText"/>
        <w:numPr>
          <w:ilvl w:val="0"/>
          <w:numId w:val="39"/>
        </w:numPr>
        <w:overflowPunct/>
        <w:autoSpaceDE/>
        <w:autoSpaceDN/>
        <w:adjustRightInd/>
        <w:snapToGrid w:val="0"/>
        <w:spacing w:beforeLines="50" w:before="120" w:after="120" w:line="268" w:lineRule="auto"/>
        <w:contextualSpacing/>
        <w:jc w:val="both"/>
        <w:textAlignment w:val="auto"/>
        <w:rPr>
          <w:color w:val="000000"/>
        </w:rPr>
      </w:pPr>
      <w:bookmarkStart w:id="9" w:name="_Ref40452861"/>
      <w:r>
        <w:t xml:space="preserve"> </w:t>
      </w:r>
      <w:r w:rsidR="00565EE1">
        <w:rPr>
          <w:color w:val="000000"/>
        </w:rPr>
        <w:t xml:space="preserve">Chairman notes, </w:t>
      </w:r>
      <w:r w:rsidR="00824450" w:rsidRPr="00824450">
        <w:t>3GPP TSG RAN</w:t>
      </w:r>
      <w:r w:rsidR="00565EE1">
        <w:t>1</w:t>
      </w:r>
      <w:r w:rsidR="00824450" w:rsidRPr="00824450">
        <w:t xml:space="preserve"> meeting #</w:t>
      </w:r>
      <w:r w:rsidR="00565EE1">
        <w:t>104bis-</w:t>
      </w:r>
      <w:r w:rsidR="00824450" w:rsidRPr="00824450">
        <w:t xml:space="preserve">e, </w:t>
      </w:r>
      <w:r w:rsidR="00565EE1">
        <w:t>April 12-20</w:t>
      </w:r>
      <w:r w:rsidR="00824450" w:rsidRPr="00824450">
        <w:t>, 202</w:t>
      </w:r>
      <w:bookmarkEnd w:id="9"/>
      <w:r w:rsidR="00565EE1">
        <w:t>1.</w:t>
      </w:r>
    </w:p>
    <w:sectPr w:rsidR="00746535" w:rsidRPr="00565EE1"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CE314" w14:textId="77777777" w:rsidR="00AB626F" w:rsidRDefault="00AB626F" w:rsidP="00746535">
      <w:pPr>
        <w:spacing w:after="0"/>
      </w:pPr>
      <w:r>
        <w:separator/>
      </w:r>
    </w:p>
  </w:endnote>
  <w:endnote w:type="continuationSeparator" w:id="0">
    <w:p w14:paraId="00AEEC65" w14:textId="77777777" w:rsidR="00AB626F" w:rsidRDefault="00AB626F" w:rsidP="00746535">
      <w:pPr>
        <w:spacing w:after="0"/>
      </w:pPr>
      <w:r>
        <w:continuationSeparator/>
      </w:r>
    </w:p>
  </w:endnote>
  <w:endnote w:type="continuationNotice" w:id="1">
    <w:p w14:paraId="559603AB" w14:textId="77777777" w:rsidR="00AB626F" w:rsidRDefault="00AB6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78A20" w14:textId="77777777" w:rsidR="00AB626F" w:rsidRDefault="00AB626F" w:rsidP="00746535">
      <w:pPr>
        <w:spacing w:after="0"/>
      </w:pPr>
      <w:r>
        <w:separator/>
      </w:r>
    </w:p>
  </w:footnote>
  <w:footnote w:type="continuationSeparator" w:id="0">
    <w:p w14:paraId="0BEEBE02" w14:textId="77777777" w:rsidR="00AB626F" w:rsidRDefault="00AB626F" w:rsidP="00746535">
      <w:pPr>
        <w:spacing w:after="0"/>
      </w:pPr>
      <w:r>
        <w:continuationSeparator/>
      </w:r>
    </w:p>
  </w:footnote>
  <w:footnote w:type="continuationNotice" w:id="1">
    <w:p w14:paraId="3D5643C8" w14:textId="77777777" w:rsidR="00AB626F" w:rsidRDefault="00AB62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7B69C7"/>
    <w:multiLevelType w:val="hybridMultilevel"/>
    <w:tmpl w:val="8A904A98"/>
    <w:lvl w:ilvl="0" w:tplc="341A2C34">
      <w:start w:val="1"/>
      <w:numFmt w:val="decimal"/>
      <w:lvlText w:val="%1."/>
      <w:lvlJc w:val="left"/>
      <w:pPr>
        <w:tabs>
          <w:tab w:val="num" w:pos="720"/>
        </w:tabs>
        <w:ind w:left="720" w:hanging="360"/>
      </w:pPr>
    </w:lvl>
    <w:lvl w:ilvl="1" w:tplc="21FACFA2">
      <w:start w:val="1"/>
      <w:numFmt w:val="decimal"/>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892873"/>
    <w:multiLevelType w:val="hybridMultilevel"/>
    <w:tmpl w:val="171E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77200"/>
    <w:multiLevelType w:val="hybridMultilevel"/>
    <w:tmpl w:val="6E7E524C"/>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C10519"/>
    <w:multiLevelType w:val="hybridMultilevel"/>
    <w:tmpl w:val="A1EC7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233EB6"/>
    <w:multiLevelType w:val="hybridMultilevel"/>
    <w:tmpl w:val="FCEED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CD06219"/>
    <w:multiLevelType w:val="hybridMultilevel"/>
    <w:tmpl w:val="29A64D54"/>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E9597D"/>
    <w:multiLevelType w:val="hybridMultilevel"/>
    <w:tmpl w:val="C9EACFB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6"/>
  </w:num>
  <w:num w:numId="3">
    <w:abstractNumId w:val="38"/>
  </w:num>
  <w:num w:numId="4">
    <w:abstractNumId w:val="27"/>
  </w:num>
  <w:num w:numId="5">
    <w:abstractNumId w:val="24"/>
  </w:num>
  <w:num w:numId="6">
    <w:abstractNumId w:val="6"/>
  </w:num>
  <w:num w:numId="7">
    <w:abstractNumId w:val="35"/>
  </w:num>
  <w:num w:numId="8">
    <w:abstractNumId w:val="22"/>
  </w:num>
  <w:num w:numId="9">
    <w:abstractNumId w:val="32"/>
  </w:num>
  <w:num w:numId="10">
    <w:abstractNumId w:val="25"/>
  </w:num>
  <w:num w:numId="11">
    <w:abstractNumId w:val="15"/>
  </w:num>
  <w:num w:numId="12">
    <w:abstractNumId w:val="3"/>
  </w:num>
  <w:num w:numId="13">
    <w:abstractNumId w:val="4"/>
  </w:num>
  <w:num w:numId="14">
    <w:abstractNumId w:val="33"/>
  </w:num>
  <w:num w:numId="15">
    <w:abstractNumId w:val="0"/>
  </w:num>
  <w:num w:numId="16">
    <w:abstractNumId w:val="28"/>
  </w:num>
  <w:num w:numId="17">
    <w:abstractNumId w:val="29"/>
  </w:num>
  <w:num w:numId="18">
    <w:abstractNumId w:val="36"/>
  </w:num>
  <w:num w:numId="19">
    <w:abstractNumId w:val="17"/>
  </w:num>
  <w:num w:numId="20">
    <w:abstractNumId w:val="23"/>
  </w:num>
  <w:num w:numId="21">
    <w:abstractNumId w:val="21"/>
  </w:num>
  <w:num w:numId="22">
    <w:abstractNumId w:val="19"/>
  </w:num>
  <w:num w:numId="23">
    <w:abstractNumId w:val="13"/>
  </w:num>
  <w:num w:numId="24">
    <w:abstractNumId w:val="11"/>
  </w:num>
  <w:num w:numId="25">
    <w:abstractNumId w:val="1"/>
    <w:lvlOverride w:ilvl="0">
      <w:startOverride w:val="1"/>
    </w:lvlOverride>
  </w:num>
  <w:num w:numId="26">
    <w:abstractNumId w:val="2"/>
  </w:num>
  <w:num w:numId="27">
    <w:abstractNumId w:val="31"/>
  </w:num>
  <w:num w:numId="28">
    <w:abstractNumId w:val="9"/>
  </w:num>
  <w:num w:numId="29">
    <w:abstractNumId w:val="18"/>
  </w:num>
  <w:num w:numId="30">
    <w:abstractNumId w:val="8"/>
  </w:num>
  <w:num w:numId="31">
    <w:abstractNumId w:val="7"/>
  </w:num>
  <w:num w:numId="32">
    <w:abstractNumId w:val="20"/>
  </w:num>
  <w:num w:numId="33">
    <w:abstractNumId w:val="14"/>
  </w:num>
  <w:num w:numId="34">
    <w:abstractNumId w:val="34"/>
  </w:num>
  <w:num w:numId="35">
    <w:abstractNumId w:val="10"/>
  </w:num>
  <w:num w:numId="36">
    <w:abstractNumId w:val="16"/>
  </w:num>
  <w:num w:numId="37">
    <w:abstractNumId w:val="12"/>
  </w:num>
  <w:num w:numId="38">
    <w:abstractNumId w:val="30"/>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44F9"/>
    <w:rsid w:val="00013DF7"/>
    <w:rsid w:val="00016124"/>
    <w:rsid w:val="00017485"/>
    <w:rsid w:val="000228CC"/>
    <w:rsid w:val="000231C0"/>
    <w:rsid w:val="00027BAE"/>
    <w:rsid w:val="00033B0B"/>
    <w:rsid w:val="0003430D"/>
    <w:rsid w:val="00035010"/>
    <w:rsid w:val="0003720A"/>
    <w:rsid w:val="00037B94"/>
    <w:rsid w:val="000410E7"/>
    <w:rsid w:val="00045501"/>
    <w:rsid w:val="00054543"/>
    <w:rsid w:val="00054AE5"/>
    <w:rsid w:val="00055E7D"/>
    <w:rsid w:val="00062718"/>
    <w:rsid w:val="000666F8"/>
    <w:rsid w:val="00073E2D"/>
    <w:rsid w:val="00076018"/>
    <w:rsid w:val="00083372"/>
    <w:rsid w:val="0008376C"/>
    <w:rsid w:val="0008400B"/>
    <w:rsid w:val="00090F2F"/>
    <w:rsid w:val="000937F9"/>
    <w:rsid w:val="000940B2"/>
    <w:rsid w:val="000A7317"/>
    <w:rsid w:val="000A75B0"/>
    <w:rsid w:val="000B1540"/>
    <w:rsid w:val="000B3C26"/>
    <w:rsid w:val="000C2908"/>
    <w:rsid w:val="000C3DF4"/>
    <w:rsid w:val="000D3E4E"/>
    <w:rsid w:val="000D4892"/>
    <w:rsid w:val="000D7297"/>
    <w:rsid w:val="000E36EC"/>
    <w:rsid w:val="000E48F2"/>
    <w:rsid w:val="000E6249"/>
    <w:rsid w:val="000F195F"/>
    <w:rsid w:val="000F5F22"/>
    <w:rsid w:val="000F7B85"/>
    <w:rsid w:val="00100C0C"/>
    <w:rsid w:val="001079CA"/>
    <w:rsid w:val="00112891"/>
    <w:rsid w:val="00113975"/>
    <w:rsid w:val="001216BD"/>
    <w:rsid w:val="001223F3"/>
    <w:rsid w:val="0012415D"/>
    <w:rsid w:val="00124F48"/>
    <w:rsid w:val="00127558"/>
    <w:rsid w:val="0013001B"/>
    <w:rsid w:val="00137270"/>
    <w:rsid w:val="001378EC"/>
    <w:rsid w:val="00137F94"/>
    <w:rsid w:val="001450AD"/>
    <w:rsid w:val="00147337"/>
    <w:rsid w:val="00153674"/>
    <w:rsid w:val="00154732"/>
    <w:rsid w:val="0015502A"/>
    <w:rsid w:val="0016285A"/>
    <w:rsid w:val="0016496A"/>
    <w:rsid w:val="00167A2A"/>
    <w:rsid w:val="001737E1"/>
    <w:rsid w:val="00175632"/>
    <w:rsid w:val="00180764"/>
    <w:rsid w:val="00182A76"/>
    <w:rsid w:val="001930DD"/>
    <w:rsid w:val="00196851"/>
    <w:rsid w:val="001A110A"/>
    <w:rsid w:val="001A39C8"/>
    <w:rsid w:val="001A53F8"/>
    <w:rsid w:val="001A763F"/>
    <w:rsid w:val="001B1669"/>
    <w:rsid w:val="001B21F9"/>
    <w:rsid w:val="001B2355"/>
    <w:rsid w:val="001B50B9"/>
    <w:rsid w:val="001C2832"/>
    <w:rsid w:val="001F7D26"/>
    <w:rsid w:val="00200759"/>
    <w:rsid w:val="002053BB"/>
    <w:rsid w:val="00205606"/>
    <w:rsid w:val="00205ACB"/>
    <w:rsid w:val="00207EBC"/>
    <w:rsid w:val="00213D5D"/>
    <w:rsid w:val="002147D1"/>
    <w:rsid w:val="00215B80"/>
    <w:rsid w:val="00216A8D"/>
    <w:rsid w:val="0022093A"/>
    <w:rsid w:val="00224BA3"/>
    <w:rsid w:val="0023415E"/>
    <w:rsid w:val="00235FDF"/>
    <w:rsid w:val="0024332F"/>
    <w:rsid w:val="002433A0"/>
    <w:rsid w:val="0024472E"/>
    <w:rsid w:val="00247523"/>
    <w:rsid w:val="00260FB9"/>
    <w:rsid w:val="002677CF"/>
    <w:rsid w:val="00273C47"/>
    <w:rsid w:val="002764DD"/>
    <w:rsid w:val="00285D76"/>
    <w:rsid w:val="00291D9A"/>
    <w:rsid w:val="00292883"/>
    <w:rsid w:val="00296B3D"/>
    <w:rsid w:val="002A1728"/>
    <w:rsid w:val="002A3466"/>
    <w:rsid w:val="002A4E64"/>
    <w:rsid w:val="002A709C"/>
    <w:rsid w:val="002A7B15"/>
    <w:rsid w:val="002B1AE2"/>
    <w:rsid w:val="002B386D"/>
    <w:rsid w:val="002B4CDB"/>
    <w:rsid w:val="002B53C5"/>
    <w:rsid w:val="002C136E"/>
    <w:rsid w:val="002C225D"/>
    <w:rsid w:val="002C7E73"/>
    <w:rsid w:val="002D1318"/>
    <w:rsid w:val="002D32FC"/>
    <w:rsid w:val="002E1B20"/>
    <w:rsid w:val="002E2613"/>
    <w:rsid w:val="002E4D8A"/>
    <w:rsid w:val="002E59C0"/>
    <w:rsid w:val="002F4383"/>
    <w:rsid w:val="00301906"/>
    <w:rsid w:val="00304979"/>
    <w:rsid w:val="00305DB3"/>
    <w:rsid w:val="0030770B"/>
    <w:rsid w:val="0031110E"/>
    <w:rsid w:val="003137D2"/>
    <w:rsid w:val="0031510A"/>
    <w:rsid w:val="00322F63"/>
    <w:rsid w:val="00333E72"/>
    <w:rsid w:val="003346F0"/>
    <w:rsid w:val="00342965"/>
    <w:rsid w:val="0034384E"/>
    <w:rsid w:val="0035056C"/>
    <w:rsid w:val="00363585"/>
    <w:rsid w:val="0036381D"/>
    <w:rsid w:val="00363B9A"/>
    <w:rsid w:val="00366981"/>
    <w:rsid w:val="00366B99"/>
    <w:rsid w:val="00366C1C"/>
    <w:rsid w:val="00367345"/>
    <w:rsid w:val="00371B3A"/>
    <w:rsid w:val="0037643F"/>
    <w:rsid w:val="00376CB1"/>
    <w:rsid w:val="00377345"/>
    <w:rsid w:val="003829FD"/>
    <w:rsid w:val="00390DD4"/>
    <w:rsid w:val="003920A0"/>
    <w:rsid w:val="00392475"/>
    <w:rsid w:val="00397668"/>
    <w:rsid w:val="003A1C46"/>
    <w:rsid w:val="003B2E70"/>
    <w:rsid w:val="003B5254"/>
    <w:rsid w:val="003B6750"/>
    <w:rsid w:val="003B7686"/>
    <w:rsid w:val="003C1597"/>
    <w:rsid w:val="003C1E22"/>
    <w:rsid w:val="003C2F38"/>
    <w:rsid w:val="003C34CC"/>
    <w:rsid w:val="003C3641"/>
    <w:rsid w:val="003C4F56"/>
    <w:rsid w:val="003C7FA2"/>
    <w:rsid w:val="003D047C"/>
    <w:rsid w:val="003E0D33"/>
    <w:rsid w:val="003E5117"/>
    <w:rsid w:val="003F1425"/>
    <w:rsid w:val="003F214A"/>
    <w:rsid w:val="003F6B18"/>
    <w:rsid w:val="0040345F"/>
    <w:rsid w:val="00410BAC"/>
    <w:rsid w:val="00410CCF"/>
    <w:rsid w:val="00421CD2"/>
    <w:rsid w:val="004230B8"/>
    <w:rsid w:val="0042480E"/>
    <w:rsid w:val="004278C1"/>
    <w:rsid w:val="004305CE"/>
    <w:rsid w:val="00431990"/>
    <w:rsid w:val="0043538A"/>
    <w:rsid w:val="0043698B"/>
    <w:rsid w:val="00437EB9"/>
    <w:rsid w:val="00441F88"/>
    <w:rsid w:val="004440D6"/>
    <w:rsid w:val="00450D19"/>
    <w:rsid w:val="0045185F"/>
    <w:rsid w:val="004526F4"/>
    <w:rsid w:val="00462EDF"/>
    <w:rsid w:val="00462F56"/>
    <w:rsid w:val="00465F61"/>
    <w:rsid w:val="00473420"/>
    <w:rsid w:val="004772A1"/>
    <w:rsid w:val="004803B7"/>
    <w:rsid w:val="004914D1"/>
    <w:rsid w:val="0049677E"/>
    <w:rsid w:val="00496C2E"/>
    <w:rsid w:val="0049752F"/>
    <w:rsid w:val="004A2C9B"/>
    <w:rsid w:val="004A4A1E"/>
    <w:rsid w:val="004B2F38"/>
    <w:rsid w:val="004B54D6"/>
    <w:rsid w:val="004B55DF"/>
    <w:rsid w:val="004B56F0"/>
    <w:rsid w:val="004B6301"/>
    <w:rsid w:val="004C716B"/>
    <w:rsid w:val="004D10C9"/>
    <w:rsid w:val="004D1327"/>
    <w:rsid w:val="004D3CCB"/>
    <w:rsid w:val="004E48B0"/>
    <w:rsid w:val="004E67B2"/>
    <w:rsid w:val="004F295D"/>
    <w:rsid w:val="004F4610"/>
    <w:rsid w:val="004F6AFC"/>
    <w:rsid w:val="0050049D"/>
    <w:rsid w:val="00507411"/>
    <w:rsid w:val="005152A8"/>
    <w:rsid w:val="005163CE"/>
    <w:rsid w:val="00521AA5"/>
    <w:rsid w:val="0052380E"/>
    <w:rsid w:val="005270F6"/>
    <w:rsid w:val="00540AE7"/>
    <w:rsid w:val="005415E2"/>
    <w:rsid w:val="00554794"/>
    <w:rsid w:val="005551B3"/>
    <w:rsid w:val="00555F24"/>
    <w:rsid w:val="00557216"/>
    <w:rsid w:val="00561B6B"/>
    <w:rsid w:val="00563E7A"/>
    <w:rsid w:val="00565EE1"/>
    <w:rsid w:val="00574132"/>
    <w:rsid w:val="00576517"/>
    <w:rsid w:val="00582F42"/>
    <w:rsid w:val="00586B69"/>
    <w:rsid w:val="00591E48"/>
    <w:rsid w:val="0059468C"/>
    <w:rsid w:val="00594CE1"/>
    <w:rsid w:val="005A28AF"/>
    <w:rsid w:val="005A33DD"/>
    <w:rsid w:val="005A5F9F"/>
    <w:rsid w:val="005A5FF0"/>
    <w:rsid w:val="005A74CC"/>
    <w:rsid w:val="005B0C9C"/>
    <w:rsid w:val="005B3A24"/>
    <w:rsid w:val="005C0886"/>
    <w:rsid w:val="005C0B6B"/>
    <w:rsid w:val="005C769E"/>
    <w:rsid w:val="005E0961"/>
    <w:rsid w:val="005E1032"/>
    <w:rsid w:val="005E4C14"/>
    <w:rsid w:val="005E5BE5"/>
    <w:rsid w:val="005F2123"/>
    <w:rsid w:val="005F43FC"/>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4C39"/>
    <w:rsid w:val="006429A1"/>
    <w:rsid w:val="006438F0"/>
    <w:rsid w:val="00645883"/>
    <w:rsid w:val="006477DB"/>
    <w:rsid w:val="00661B7E"/>
    <w:rsid w:val="0066272D"/>
    <w:rsid w:val="0066276B"/>
    <w:rsid w:val="00662FEF"/>
    <w:rsid w:val="00663B30"/>
    <w:rsid w:val="0066409B"/>
    <w:rsid w:val="0066446C"/>
    <w:rsid w:val="006666C6"/>
    <w:rsid w:val="00674539"/>
    <w:rsid w:val="0067530F"/>
    <w:rsid w:val="00680CA2"/>
    <w:rsid w:val="00680DA8"/>
    <w:rsid w:val="0068217D"/>
    <w:rsid w:val="006A6155"/>
    <w:rsid w:val="006B0E0C"/>
    <w:rsid w:val="006B6672"/>
    <w:rsid w:val="006C204E"/>
    <w:rsid w:val="006C3F53"/>
    <w:rsid w:val="006D1381"/>
    <w:rsid w:val="006D28C1"/>
    <w:rsid w:val="006D3CBB"/>
    <w:rsid w:val="006D495C"/>
    <w:rsid w:val="006D764E"/>
    <w:rsid w:val="006E1B48"/>
    <w:rsid w:val="006E6DD1"/>
    <w:rsid w:val="006E6EC9"/>
    <w:rsid w:val="006F38C7"/>
    <w:rsid w:val="006F40BC"/>
    <w:rsid w:val="006F4D72"/>
    <w:rsid w:val="006F4EEC"/>
    <w:rsid w:val="006F6E51"/>
    <w:rsid w:val="007047A9"/>
    <w:rsid w:val="007104FB"/>
    <w:rsid w:val="00711A57"/>
    <w:rsid w:val="007124C4"/>
    <w:rsid w:val="007138AF"/>
    <w:rsid w:val="00714628"/>
    <w:rsid w:val="00721FFC"/>
    <w:rsid w:val="0072519F"/>
    <w:rsid w:val="00732335"/>
    <w:rsid w:val="00735055"/>
    <w:rsid w:val="007359FC"/>
    <w:rsid w:val="0073778F"/>
    <w:rsid w:val="00740832"/>
    <w:rsid w:val="007410FD"/>
    <w:rsid w:val="007439DC"/>
    <w:rsid w:val="00746535"/>
    <w:rsid w:val="007468F1"/>
    <w:rsid w:val="00746ABA"/>
    <w:rsid w:val="00747ED4"/>
    <w:rsid w:val="007515ED"/>
    <w:rsid w:val="007556E1"/>
    <w:rsid w:val="0076488F"/>
    <w:rsid w:val="0078086F"/>
    <w:rsid w:val="00782900"/>
    <w:rsid w:val="007833A7"/>
    <w:rsid w:val="00786AC7"/>
    <w:rsid w:val="00794097"/>
    <w:rsid w:val="007A2558"/>
    <w:rsid w:val="007A701D"/>
    <w:rsid w:val="007B613E"/>
    <w:rsid w:val="007B79E2"/>
    <w:rsid w:val="007C2EAE"/>
    <w:rsid w:val="007C360E"/>
    <w:rsid w:val="007D58CF"/>
    <w:rsid w:val="007D6638"/>
    <w:rsid w:val="007E6BE6"/>
    <w:rsid w:val="007F3B35"/>
    <w:rsid w:val="008007E9"/>
    <w:rsid w:val="00800CD0"/>
    <w:rsid w:val="00803B87"/>
    <w:rsid w:val="00806D7A"/>
    <w:rsid w:val="00807B78"/>
    <w:rsid w:val="00810E1F"/>
    <w:rsid w:val="008117DC"/>
    <w:rsid w:val="00813DE7"/>
    <w:rsid w:val="00815CB3"/>
    <w:rsid w:val="00822AA7"/>
    <w:rsid w:val="008243A9"/>
    <w:rsid w:val="00824450"/>
    <w:rsid w:val="008410FB"/>
    <w:rsid w:val="008471A0"/>
    <w:rsid w:val="00857E3A"/>
    <w:rsid w:val="008609B4"/>
    <w:rsid w:val="00864501"/>
    <w:rsid w:val="0087613F"/>
    <w:rsid w:val="00890434"/>
    <w:rsid w:val="00890742"/>
    <w:rsid w:val="00892410"/>
    <w:rsid w:val="00895EC4"/>
    <w:rsid w:val="0089760F"/>
    <w:rsid w:val="008976E1"/>
    <w:rsid w:val="008A2692"/>
    <w:rsid w:val="008A4299"/>
    <w:rsid w:val="008A4477"/>
    <w:rsid w:val="008A7FE8"/>
    <w:rsid w:val="008B006C"/>
    <w:rsid w:val="008B2264"/>
    <w:rsid w:val="008B6116"/>
    <w:rsid w:val="008C1A35"/>
    <w:rsid w:val="008C2E12"/>
    <w:rsid w:val="008C7EEF"/>
    <w:rsid w:val="008D17C1"/>
    <w:rsid w:val="008D23FB"/>
    <w:rsid w:val="008D7A9D"/>
    <w:rsid w:val="008E0EAF"/>
    <w:rsid w:val="008E0EE9"/>
    <w:rsid w:val="008E1813"/>
    <w:rsid w:val="008F09BA"/>
    <w:rsid w:val="008F1435"/>
    <w:rsid w:val="008F32F6"/>
    <w:rsid w:val="008F5BE4"/>
    <w:rsid w:val="008F77C6"/>
    <w:rsid w:val="00901695"/>
    <w:rsid w:val="00904C38"/>
    <w:rsid w:val="00906266"/>
    <w:rsid w:val="0091288C"/>
    <w:rsid w:val="009238DC"/>
    <w:rsid w:val="0092763C"/>
    <w:rsid w:val="00931EA6"/>
    <w:rsid w:val="009320D5"/>
    <w:rsid w:val="00932B8E"/>
    <w:rsid w:val="00934D80"/>
    <w:rsid w:val="0093764E"/>
    <w:rsid w:val="0094127A"/>
    <w:rsid w:val="00943773"/>
    <w:rsid w:val="009447F6"/>
    <w:rsid w:val="0094699A"/>
    <w:rsid w:val="00951051"/>
    <w:rsid w:val="009522CE"/>
    <w:rsid w:val="009531D3"/>
    <w:rsid w:val="009565AF"/>
    <w:rsid w:val="00956D39"/>
    <w:rsid w:val="00957257"/>
    <w:rsid w:val="00957DC7"/>
    <w:rsid w:val="00962883"/>
    <w:rsid w:val="00964AF1"/>
    <w:rsid w:val="00966C7B"/>
    <w:rsid w:val="009712B1"/>
    <w:rsid w:val="00972583"/>
    <w:rsid w:val="009761D3"/>
    <w:rsid w:val="009909BF"/>
    <w:rsid w:val="00994513"/>
    <w:rsid w:val="00995E87"/>
    <w:rsid w:val="009A193B"/>
    <w:rsid w:val="009A1EFD"/>
    <w:rsid w:val="009A22AE"/>
    <w:rsid w:val="009B672E"/>
    <w:rsid w:val="009C46F8"/>
    <w:rsid w:val="009C52E6"/>
    <w:rsid w:val="009D299F"/>
    <w:rsid w:val="009D2ECE"/>
    <w:rsid w:val="009D3364"/>
    <w:rsid w:val="009E09EA"/>
    <w:rsid w:val="009E2F82"/>
    <w:rsid w:val="009E6142"/>
    <w:rsid w:val="009E7305"/>
    <w:rsid w:val="009F1389"/>
    <w:rsid w:val="009F4343"/>
    <w:rsid w:val="009F485D"/>
    <w:rsid w:val="009F7E80"/>
    <w:rsid w:val="00A009B2"/>
    <w:rsid w:val="00A03B93"/>
    <w:rsid w:val="00A116F3"/>
    <w:rsid w:val="00A1257C"/>
    <w:rsid w:val="00A1296F"/>
    <w:rsid w:val="00A160DC"/>
    <w:rsid w:val="00A20F64"/>
    <w:rsid w:val="00A23FDB"/>
    <w:rsid w:val="00A245A4"/>
    <w:rsid w:val="00A30E57"/>
    <w:rsid w:val="00A4372A"/>
    <w:rsid w:val="00A471DD"/>
    <w:rsid w:val="00A51892"/>
    <w:rsid w:val="00A559FB"/>
    <w:rsid w:val="00A61F99"/>
    <w:rsid w:val="00A62DC0"/>
    <w:rsid w:val="00A62F46"/>
    <w:rsid w:val="00A65FDA"/>
    <w:rsid w:val="00A87C2B"/>
    <w:rsid w:val="00A91472"/>
    <w:rsid w:val="00A92638"/>
    <w:rsid w:val="00A9321F"/>
    <w:rsid w:val="00A93F78"/>
    <w:rsid w:val="00A97F1A"/>
    <w:rsid w:val="00AB1B29"/>
    <w:rsid w:val="00AB626F"/>
    <w:rsid w:val="00AC1CBE"/>
    <w:rsid w:val="00AC6DEC"/>
    <w:rsid w:val="00AC7489"/>
    <w:rsid w:val="00AD2B31"/>
    <w:rsid w:val="00AD4509"/>
    <w:rsid w:val="00AF275E"/>
    <w:rsid w:val="00B01EB9"/>
    <w:rsid w:val="00B04BAB"/>
    <w:rsid w:val="00B1655A"/>
    <w:rsid w:val="00B27123"/>
    <w:rsid w:val="00B275E2"/>
    <w:rsid w:val="00B27AD3"/>
    <w:rsid w:val="00B34EBA"/>
    <w:rsid w:val="00B44098"/>
    <w:rsid w:val="00B44E81"/>
    <w:rsid w:val="00B46671"/>
    <w:rsid w:val="00B47CBB"/>
    <w:rsid w:val="00B517CB"/>
    <w:rsid w:val="00B57C90"/>
    <w:rsid w:val="00B62098"/>
    <w:rsid w:val="00B64E95"/>
    <w:rsid w:val="00B65198"/>
    <w:rsid w:val="00B6747F"/>
    <w:rsid w:val="00B708EF"/>
    <w:rsid w:val="00B74161"/>
    <w:rsid w:val="00B743EA"/>
    <w:rsid w:val="00B76B2C"/>
    <w:rsid w:val="00B808CC"/>
    <w:rsid w:val="00B838CF"/>
    <w:rsid w:val="00B87F86"/>
    <w:rsid w:val="00B9006A"/>
    <w:rsid w:val="00B9133F"/>
    <w:rsid w:val="00B944EF"/>
    <w:rsid w:val="00BA10B3"/>
    <w:rsid w:val="00BA1AF7"/>
    <w:rsid w:val="00BA356E"/>
    <w:rsid w:val="00BB16D7"/>
    <w:rsid w:val="00BB62C1"/>
    <w:rsid w:val="00BC01FE"/>
    <w:rsid w:val="00BC1530"/>
    <w:rsid w:val="00BC1EAA"/>
    <w:rsid w:val="00BC4293"/>
    <w:rsid w:val="00BC4A0C"/>
    <w:rsid w:val="00BC5B1A"/>
    <w:rsid w:val="00BC5D5A"/>
    <w:rsid w:val="00BD1EF3"/>
    <w:rsid w:val="00BD27F3"/>
    <w:rsid w:val="00BD36DA"/>
    <w:rsid w:val="00BD4DF5"/>
    <w:rsid w:val="00BD7640"/>
    <w:rsid w:val="00BD7A22"/>
    <w:rsid w:val="00BE04D4"/>
    <w:rsid w:val="00BE3378"/>
    <w:rsid w:val="00BE4F87"/>
    <w:rsid w:val="00BE71B7"/>
    <w:rsid w:val="00BE7C22"/>
    <w:rsid w:val="00BF0F65"/>
    <w:rsid w:val="00BF2BC6"/>
    <w:rsid w:val="00BF3D78"/>
    <w:rsid w:val="00C00294"/>
    <w:rsid w:val="00C03B4D"/>
    <w:rsid w:val="00C10BDE"/>
    <w:rsid w:val="00C14406"/>
    <w:rsid w:val="00C24AAA"/>
    <w:rsid w:val="00C25ECC"/>
    <w:rsid w:val="00C267FF"/>
    <w:rsid w:val="00C30629"/>
    <w:rsid w:val="00C3353D"/>
    <w:rsid w:val="00C356F4"/>
    <w:rsid w:val="00C3625E"/>
    <w:rsid w:val="00C37C05"/>
    <w:rsid w:val="00C40DAA"/>
    <w:rsid w:val="00C4570A"/>
    <w:rsid w:val="00C463CB"/>
    <w:rsid w:val="00C477E4"/>
    <w:rsid w:val="00C50B43"/>
    <w:rsid w:val="00C54480"/>
    <w:rsid w:val="00C545E2"/>
    <w:rsid w:val="00C602D3"/>
    <w:rsid w:val="00C64487"/>
    <w:rsid w:val="00C66ADC"/>
    <w:rsid w:val="00C67790"/>
    <w:rsid w:val="00C67974"/>
    <w:rsid w:val="00C71071"/>
    <w:rsid w:val="00C71211"/>
    <w:rsid w:val="00C716AA"/>
    <w:rsid w:val="00C72AC4"/>
    <w:rsid w:val="00C74CCF"/>
    <w:rsid w:val="00C803BF"/>
    <w:rsid w:val="00C810CB"/>
    <w:rsid w:val="00C83D78"/>
    <w:rsid w:val="00C93DE0"/>
    <w:rsid w:val="00CA1D58"/>
    <w:rsid w:val="00CA4E54"/>
    <w:rsid w:val="00CA6468"/>
    <w:rsid w:val="00CA785A"/>
    <w:rsid w:val="00CC0B59"/>
    <w:rsid w:val="00CC6DF7"/>
    <w:rsid w:val="00CD011F"/>
    <w:rsid w:val="00CD0C3C"/>
    <w:rsid w:val="00CD1A59"/>
    <w:rsid w:val="00CD6108"/>
    <w:rsid w:val="00CD64B3"/>
    <w:rsid w:val="00CD7305"/>
    <w:rsid w:val="00CE36EB"/>
    <w:rsid w:val="00CE5778"/>
    <w:rsid w:val="00CF0BF1"/>
    <w:rsid w:val="00CF651F"/>
    <w:rsid w:val="00CF6905"/>
    <w:rsid w:val="00D0418E"/>
    <w:rsid w:val="00D061C5"/>
    <w:rsid w:val="00D06530"/>
    <w:rsid w:val="00D07847"/>
    <w:rsid w:val="00D11F72"/>
    <w:rsid w:val="00D13B30"/>
    <w:rsid w:val="00D1403B"/>
    <w:rsid w:val="00D14F38"/>
    <w:rsid w:val="00D27C68"/>
    <w:rsid w:val="00D320A2"/>
    <w:rsid w:val="00D34DF2"/>
    <w:rsid w:val="00D416B4"/>
    <w:rsid w:val="00D437B5"/>
    <w:rsid w:val="00D4562D"/>
    <w:rsid w:val="00D50538"/>
    <w:rsid w:val="00D52C88"/>
    <w:rsid w:val="00D62411"/>
    <w:rsid w:val="00D643C0"/>
    <w:rsid w:val="00D650EB"/>
    <w:rsid w:val="00D6546F"/>
    <w:rsid w:val="00D675BC"/>
    <w:rsid w:val="00D70504"/>
    <w:rsid w:val="00D7064E"/>
    <w:rsid w:val="00D7086E"/>
    <w:rsid w:val="00D73FCC"/>
    <w:rsid w:val="00D74914"/>
    <w:rsid w:val="00D764E9"/>
    <w:rsid w:val="00D80BC1"/>
    <w:rsid w:val="00D824B7"/>
    <w:rsid w:val="00D840E8"/>
    <w:rsid w:val="00D84CD2"/>
    <w:rsid w:val="00D928A1"/>
    <w:rsid w:val="00D9584E"/>
    <w:rsid w:val="00D96C5B"/>
    <w:rsid w:val="00D97D65"/>
    <w:rsid w:val="00DA016E"/>
    <w:rsid w:val="00DA19D4"/>
    <w:rsid w:val="00DA39B5"/>
    <w:rsid w:val="00DA49E7"/>
    <w:rsid w:val="00DA7DD6"/>
    <w:rsid w:val="00DB1C0E"/>
    <w:rsid w:val="00DB3041"/>
    <w:rsid w:val="00DB531B"/>
    <w:rsid w:val="00DC0CD9"/>
    <w:rsid w:val="00DC510D"/>
    <w:rsid w:val="00DC5414"/>
    <w:rsid w:val="00DC5EB9"/>
    <w:rsid w:val="00DC6EAB"/>
    <w:rsid w:val="00DC7134"/>
    <w:rsid w:val="00DD4550"/>
    <w:rsid w:val="00DD69FD"/>
    <w:rsid w:val="00DE2926"/>
    <w:rsid w:val="00DE74EA"/>
    <w:rsid w:val="00DF1D01"/>
    <w:rsid w:val="00DF33DD"/>
    <w:rsid w:val="00DF54DD"/>
    <w:rsid w:val="00DF6030"/>
    <w:rsid w:val="00DF6E70"/>
    <w:rsid w:val="00E01FF8"/>
    <w:rsid w:val="00E032B0"/>
    <w:rsid w:val="00E06688"/>
    <w:rsid w:val="00E07788"/>
    <w:rsid w:val="00E12985"/>
    <w:rsid w:val="00E1573D"/>
    <w:rsid w:val="00E1751D"/>
    <w:rsid w:val="00E22770"/>
    <w:rsid w:val="00E22CBF"/>
    <w:rsid w:val="00E238D0"/>
    <w:rsid w:val="00E32BFB"/>
    <w:rsid w:val="00E3570D"/>
    <w:rsid w:val="00E364EE"/>
    <w:rsid w:val="00E41DC6"/>
    <w:rsid w:val="00E42DF7"/>
    <w:rsid w:val="00E455AF"/>
    <w:rsid w:val="00E53A2A"/>
    <w:rsid w:val="00E57572"/>
    <w:rsid w:val="00E629BB"/>
    <w:rsid w:val="00E65D8E"/>
    <w:rsid w:val="00E669B0"/>
    <w:rsid w:val="00E67437"/>
    <w:rsid w:val="00E678DE"/>
    <w:rsid w:val="00E71774"/>
    <w:rsid w:val="00E766CF"/>
    <w:rsid w:val="00E8739F"/>
    <w:rsid w:val="00E905B7"/>
    <w:rsid w:val="00E95265"/>
    <w:rsid w:val="00EA0189"/>
    <w:rsid w:val="00EA510D"/>
    <w:rsid w:val="00EB3B02"/>
    <w:rsid w:val="00EB3B21"/>
    <w:rsid w:val="00EC538C"/>
    <w:rsid w:val="00ED13E3"/>
    <w:rsid w:val="00ED2945"/>
    <w:rsid w:val="00ED45E2"/>
    <w:rsid w:val="00ED6662"/>
    <w:rsid w:val="00ED7FAA"/>
    <w:rsid w:val="00EE0670"/>
    <w:rsid w:val="00EF0716"/>
    <w:rsid w:val="00EF1923"/>
    <w:rsid w:val="00EF63F6"/>
    <w:rsid w:val="00EF74F2"/>
    <w:rsid w:val="00F007E2"/>
    <w:rsid w:val="00F04885"/>
    <w:rsid w:val="00F04F6C"/>
    <w:rsid w:val="00F07053"/>
    <w:rsid w:val="00F074E3"/>
    <w:rsid w:val="00F11D3C"/>
    <w:rsid w:val="00F13199"/>
    <w:rsid w:val="00F15D3A"/>
    <w:rsid w:val="00F16BBE"/>
    <w:rsid w:val="00F2026C"/>
    <w:rsid w:val="00F21DE7"/>
    <w:rsid w:val="00F22190"/>
    <w:rsid w:val="00F2284D"/>
    <w:rsid w:val="00F2381C"/>
    <w:rsid w:val="00F253D2"/>
    <w:rsid w:val="00F25542"/>
    <w:rsid w:val="00F2661C"/>
    <w:rsid w:val="00F340E0"/>
    <w:rsid w:val="00F438B8"/>
    <w:rsid w:val="00F50563"/>
    <w:rsid w:val="00F50886"/>
    <w:rsid w:val="00F50A9F"/>
    <w:rsid w:val="00F521B6"/>
    <w:rsid w:val="00F52F34"/>
    <w:rsid w:val="00F53E0E"/>
    <w:rsid w:val="00F5436E"/>
    <w:rsid w:val="00F63DA3"/>
    <w:rsid w:val="00F65A25"/>
    <w:rsid w:val="00F67A42"/>
    <w:rsid w:val="00F7755C"/>
    <w:rsid w:val="00F77789"/>
    <w:rsid w:val="00F803D5"/>
    <w:rsid w:val="00F81C6C"/>
    <w:rsid w:val="00F834DF"/>
    <w:rsid w:val="00F92D4C"/>
    <w:rsid w:val="00F9780C"/>
    <w:rsid w:val="00FA0573"/>
    <w:rsid w:val="00FA2AD6"/>
    <w:rsid w:val="00FA6806"/>
    <w:rsid w:val="00FB225B"/>
    <w:rsid w:val="00FB3BD6"/>
    <w:rsid w:val="00FC1708"/>
    <w:rsid w:val="00FC24C1"/>
    <w:rsid w:val="00FC2829"/>
    <w:rsid w:val="00FD1F97"/>
    <w:rsid w:val="00FD2096"/>
    <w:rsid w:val="00FE2282"/>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2967</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2021-05-11T21:25:00Z</dcterms:created>
  <dcterms:modified xsi:type="dcterms:W3CDTF">2021-05-11T22:03:00Z</dcterms:modified>
</cp:coreProperties>
</file>